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00" w:lineRule="auto"/>
        <w:ind w:firstLine="880" w:firstLineChars="200"/>
        <w:jc w:val="center"/>
        <w:rPr>
          <w:rFonts w:ascii="宋体" w:hAnsi="宋体" w:eastAsia="黑体" w:cs="宋体"/>
          <w:szCs w:val="44"/>
        </w:rPr>
      </w:pPr>
      <w:r>
        <w:rPr>
          <w:rFonts w:hint="eastAsia" w:ascii="宋体" w:hAnsi="宋体" w:eastAsia="黑体" w:cs="宋体"/>
          <w:sz w:val="44"/>
          <w:szCs w:val="44"/>
        </w:rPr>
        <w:t>评标专家劳务报酬支付功能操作手册</w:t>
      </w:r>
    </w:p>
    <w:p>
      <w:pPr>
        <w:spacing w:line="300" w:lineRule="auto"/>
        <w:ind w:firstLine="880" w:firstLineChars="200"/>
        <w:jc w:val="center"/>
        <w:rPr>
          <w:rFonts w:ascii="宋体" w:hAnsi="宋体" w:cs="宋体"/>
          <w:sz w:val="44"/>
          <w:szCs w:val="44"/>
        </w:rPr>
      </w:pPr>
      <w:r>
        <w:rPr>
          <w:rFonts w:hint="eastAsia" w:ascii="宋体" w:hAnsi="宋体" w:eastAsia="黑体" w:cs="宋体"/>
          <w:sz w:val="44"/>
          <w:szCs w:val="44"/>
        </w:rPr>
        <w:t>招标代理（招标人）</w:t>
      </w:r>
    </w:p>
    <w:p>
      <w:pPr>
        <w:spacing w:line="300" w:lineRule="auto"/>
        <w:ind w:firstLine="600" w:firstLineChars="200"/>
        <w:jc w:val="left"/>
        <w:rPr>
          <w:rFonts w:ascii="宋体" w:hAnsi="宋体" w:eastAsia="仿宋_GB2312" w:cs="宋体"/>
          <w:sz w:val="30"/>
          <w:szCs w:val="30"/>
        </w:rPr>
      </w:pPr>
    </w:p>
    <w:p>
      <w:pPr>
        <w:spacing w:line="300" w:lineRule="auto"/>
        <w:ind w:firstLine="600" w:firstLineChars="200"/>
        <w:jc w:val="left"/>
        <w:rPr>
          <w:rFonts w:ascii="宋体" w:hAnsi="宋体" w:eastAsia="仿宋_GB2312" w:cs="宋体"/>
          <w:sz w:val="30"/>
          <w:szCs w:val="30"/>
        </w:rPr>
      </w:pPr>
      <w:r>
        <w:rPr>
          <w:rFonts w:hint="eastAsia" w:ascii="宋体" w:hAnsi="宋体" w:eastAsia="仿宋_GB2312" w:cs="宋体"/>
          <w:sz w:val="30"/>
          <w:szCs w:val="30"/>
        </w:rPr>
        <w:t>欢迎您阅读本手册，在这里您将了解如何完成评标专家劳务报酬支付操作。整个操作共有三步：一是在场地预约时，专家报酬支付方式选择线上支付；二是评标结束后，在</w:t>
      </w:r>
      <w:r>
        <w:rPr>
          <w:rFonts w:ascii="宋体" w:hAnsi="宋体" w:eastAsia="仿宋_GB2312" w:cs="宋体"/>
          <w:sz w:val="30"/>
          <w:szCs w:val="30"/>
        </w:rPr>
        <w:t>[</w:t>
      </w:r>
      <w:r>
        <w:rPr>
          <w:rFonts w:hint="eastAsia" w:ascii="宋体" w:hAnsi="宋体" w:eastAsia="仿宋_GB2312" w:cs="宋体"/>
          <w:sz w:val="30"/>
          <w:szCs w:val="30"/>
        </w:rPr>
        <w:t>评标费用支付情况</w:t>
      </w:r>
      <w:r>
        <w:rPr>
          <w:rFonts w:ascii="宋体" w:hAnsi="宋体" w:eastAsia="仿宋_GB2312" w:cs="宋体"/>
          <w:sz w:val="30"/>
          <w:szCs w:val="30"/>
        </w:rPr>
        <w:t>]</w:t>
      </w:r>
      <w:r>
        <w:rPr>
          <w:rFonts w:hint="eastAsia" w:ascii="宋体" w:hAnsi="宋体" w:eastAsia="仿宋_GB2312" w:cs="宋体"/>
          <w:sz w:val="30"/>
          <w:szCs w:val="30"/>
        </w:rPr>
        <w:t>中，完成项目信息推送。三是登录支付平台，完成预存款操作和支付操作。同时还</w:t>
      </w:r>
      <w:r>
        <w:rPr>
          <w:rFonts w:hint="eastAsia" w:ascii="宋体" w:hAnsi="宋体" w:eastAsia="仿宋_GB2312" w:cs="宋体"/>
          <w:sz w:val="30"/>
          <w:szCs w:val="30"/>
          <w:lang w:val="en-US" w:eastAsia="zh-CN"/>
        </w:rPr>
        <w:t>有</w:t>
      </w:r>
      <w:r>
        <w:rPr>
          <w:rFonts w:hint="eastAsia" w:ascii="宋体" w:hAnsi="宋体" w:eastAsia="仿宋_GB2312" w:cs="宋体"/>
          <w:sz w:val="30"/>
          <w:szCs w:val="30"/>
        </w:rPr>
        <w:t>支付信息查看，历史数据查看，退款等功能。详细操作参考如下：</w:t>
      </w:r>
    </w:p>
    <w:p>
      <w:pPr>
        <w:spacing w:line="300" w:lineRule="auto"/>
        <w:ind w:firstLine="480" w:firstLineChars="200"/>
        <w:jc w:val="left"/>
        <w:rPr>
          <w:rFonts w:ascii="宋体" w:hAnsi="宋体" w:eastAsia="宋体" w:cs="宋体"/>
          <w:sz w:val="24"/>
        </w:rPr>
      </w:pPr>
    </w:p>
    <w:p>
      <w:pPr>
        <w:spacing w:line="300" w:lineRule="auto"/>
        <w:ind w:firstLine="602" w:firstLineChars="200"/>
        <w:rPr>
          <w:rFonts w:ascii="宋体" w:hAnsi="宋体" w:eastAsia="仿宋_GB2312" w:cs="宋体"/>
          <w:b/>
          <w:bCs/>
          <w:sz w:val="30"/>
          <w:szCs w:val="30"/>
        </w:rPr>
      </w:pPr>
      <w:r>
        <w:rPr>
          <w:rFonts w:hint="eastAsia" w:ascii="宋体" w:hAnsi="宋体" w:eastAsia="仿宋_GB2312" w:cs="宋体"/>
          <w:b/>
          <w:bCs/>
          <w:sz w:val="30"/>
          <w:szCs w:val="30"/>
        </w:rPr>
        <w:t>一、</w:t>
      </w:r>
      <w:r>
        <w:rPr>
          <w:rFonts w:hint="eastAsia" w:ascii="宋体" w:hAnsi="宋体" w:eastAsia="仿宋_GB2312" w:cs="宋体"/>
          <w:sz w:val="30"/>
          <w:szCs w:val="30"/>
        </w:rPr>
        <w:t>选择线上支付</w:t>
      </w:r>
    </w:p>
    <w:p>
      <w:pPr>
        <w:spacing w:line="300" w:lineRule="auto"/>
        <w:ind w:firstLine="600" w:firstLineChars="200"/>
        <w:rPr>
          <w:rFonts w:eastAsia="仿宋_GB2312"/>
          <w:sz w:val="30"/>
          <w:szCs w:val="30"/>
        </w:rPr>
      </w:pPr>
      <w:r>
        <w:rPr>
          <w:rFonts w:hint="eastAsia" w:ascii="宋体" w:hAnsi="宋体" w:eastAsia="仿宋_GB2312" w:cs="宋体"/>
          <w:sz w:val="30"/>
          <w:szCs w:val="30"/>
        </w:rPr>
        <w:t>选择【开评标场地预约（合）】，在场地预约模块，点击【场地预约】。选择对应的标段进行场地预约。</w:t>
      </w:r>
    </w:p>
    <w:p>
      <w:pPr>
        <w:spacing w:line="300" w:lineRule="auto"/>
        <w:jc w:val="center"/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257810</wp:posOffset>
            </wp:positionH>
            <wp:positionV relativeFrom="paragraph">
              <wp:posOffset>4445</wp:posOffset>
            </wp:positionV>
            <wp:extent cx="4754245" cy="2160905"/>
            <wp:effectExtent l="0" t="0" r="8255" b="0"/>
            <wp:wrapSquare wrapText="bothSides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4245" cy="216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300" w:lineRule="auto"/>
        <w:ind w:firstLine="420" w:firstLineChars="200"/>
        <w:rPr>
          <w:rFonts w:ascii="宋体" w:hAnsi="宋体" w:eastAsia="仿宋_GB2312" w:cs="宋体"/>
          <w:sz w:val="30"/>
          <w:szCs w:val="30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233045</wp:posOffset>
            </wp:positionH>
            <wp:positionV relativeFrom="paragraph">
              <wp:posOffset>13335</wp:posOffset>
            </wp:positionV>
            <wp:extent cx="4794885" cy="2361565"/>
            <wp:effectExtent l="0" t="0" r="5715" b="635"/>
            <wp:wrapSquare wrapText="bothSides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4885" cy="236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仿宋_GB2312" w:cs="宋体"/>
          <w:sz w:val="30"/>
          <w:szCs w:val="30"/>
        </w:rPr>
        <w:t>在场地预约界面，有专家报酬支付方式选项，选择【线上支付】，其他信息如实填写，填写完毕后提交审核。</w:t>
      </w:r>
    </w:p>
    <w:p>
      <w:pPr>
        <w:spacing w:line="300" w:lineRule="auto"/>
        <w:jc w:val="center"/>
      </w:pPr>
      <w:r>
        <w:drawing>
          <wp:inline distT="0" distB="0" distL="114300" distR="114300">
            <wp:extent cx="5296535" cy="2599690"/>
            <wp:effectExtent l="0" t="0" r="6985" b="635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96535" cy="259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00" w:lineRule="auto"/>
      </w:pPr>
    </w:p>
    <w:p>
      <w:pPr>
        <w:spacing w:line="300" w:lineRule="auto"/>
        <w:jc w:val="center"/>
      </w:pPr>
      <w:r>
        <w:drawing>
          <wp:inline distT="0" distB="0" distL="114300" distR="114300">
            <wp:extent cx="5262880" cy="2373630"/>
            <wp:effectExtent l="0" t="0" r="10160" b="381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37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00" w:lineRule="auto"/>
        <w:rPr>
          <w:rFonts w:ascii="宋体" w:hAnsi="宋体" w:eastAsia="宋体" w:cs="宋体"/>
          <w:b/>
          <w:bCs/>
          <w:sz w:val="28"/>
          <w:szCs w:val="28"/>
        </w:rPr>
      </w:pPr>
      <w:r>
        <w:br w:type="page"/>
      </w:r>
      <w:r>
        <w:rPr>
          <w:rFonts w:hint="eastAsia" w:ascii="宋体" w:hAnsi="宋体" w:eastAsia="宋体" w:cs="宋体"/>
          <w:b/>
          <w:bCs/>
          <w:sz w:val="28"/>
          <w:szCs w:val="28"/>
        </w:rPr>
        <w:t>二、项目信息推送</w:t>
      </w:r>
    </w:p>
    <w:p>
      <w:pPr>
        <w:spacing w:line="300" w:lineRule="auto"/>
        <w:ind w:firstLine="600" w:firstLineChars="200"/>
        <w:rPr>
          <w:rFonts w:ascii="宋体" w:hAnsi="宋体" w:eastAsia="仿宋_GB2312" w:cs="宋体"/>
          <w:sz w:val="30"/>
          <w:szCs w:val="30"/>
        </w:rPr>
      </w:pPr>
      <w:r>
        <w:rPr>
          <w:rFonts w:hint="eastAsia" w:ascii="宋体" w:hAnsi="宋体" w:eastAsia="仿宋_GB2312" w:cs="宋体"/>
          <w:sz w:val="30"/>
          <w:szCs w:val="30"/>
        </w:rPr>
        <w:t>专家评标结束后。前往【评标费用支付情况】模块，点击右侧【推送项目】信息。</w:t>
      </w:r>
    </w:p>
    <w:p>
      <w:pPr>
        <w:spacing w:line="300" w:lineRule="auto"/>
        <w:ind w:firstLine="600" w:firstLineChars="200"/>
        <w:rPr>
          <w:rFonts w:ascii="宋体" w:hAnsi="宋体" w:eastAsia="仿宋_GB2312" w:cs="宋体"/>
          <w:sz w:val="30"/>
          <w:szCs w:val="30"/>
        </w:rPr>
      </w:pPr>
      <w:r>
        <w:rPr>
          <w:rFonts w:hint="eastAsia" w:ascii="宋体" w:hAnsi="宋体" w:eastAsia="仿宋_GB2312" w:cs="宋体"/>
          <w:sz w:val="30"/>
          <w:szCs w:val="30"/>
        </w:rPr>
        <w:t>注意事项：</w:t>
      </w:r>
    </w:p>
    <w:p>
      <w:pPr>
        <w:spacing w:line="300" w:lineRule="auto"/>
        <w:ind w:firstLine="600" w:firstLineChars="200"/>
        <w:rPr>
          <w:rFonts w:ascii="宋体" w:hAnsi="宋体" w:eastAsia="仿宋_GB2312" w:cs="宋体"/>
          <w:sz w:val="30"/>
          <w:szCs w:val="30"/>
        </w:rPr>
      </w:pPr>
      <w:r>
        <w:rPr>
          <w:rFonts w:hint="eastAsia" w:ascii="宋体" w:hAnsi="宋体" w:eastAsia="仿宋_GB2312" w:cs="宋体"/>
          <w:sz w:val="30"/>
          <w:szCs w:val="30"/>
        </w:rPr>
        <w:t>1、部分项目出现无法推送时，会提示对应信息，请根据提示信息补充完成操作。</w:t>
      </w:r>
    </w:p>
    <w:p>
      <w:pPr>
        <w:spacing w:line="300" w:lineRule="auto"/>
        <w:ind w:firstLine="600" w:firstLineChars="200"/>
        <w:rPr>
          <w:rFonts w:ascii="宋体" w:hAnsi="宋体" w:eastAsia="仿宋_GB2312" w:cs="宋体"/>
          <w:sz w:val="30"/>
          <w:szCs w:val="30"/>
        </w:rPr>
      </w:pPr>
      <w:r>
        <w:rPr>
          <w:rFonts w:hint="eastAsia" w:ascii="宋体" w:hAnsi="宋体" w:eastAsia="仿宋_GB2312" w:cs="宋体"/>
          <w:sz w:val="30"/>
          <w:szCs w:val="30"/>
        </w:rPr>
        <w:t>2、对于流标项目会有“流标项目时间确认”功能，代理需要点击按钮后进行操作。根据实际情况在“专家是否入场”选项中选择对应选项，评标专家未进入评标室的项目无需挑选时间，而对于评标专家已进入评标室的项目则需要填写专家离场时间，之后点击确认，即可点击推送项目信息。</w:t>
      </w:r>
    </w:p>
    <w:p>
      <w:pPr>
        <w:spacing w:line="300" w:lineRule="auto"/>
        <w:ind w:firstLine="600" w:firstLineChars="200"/>
        <w:rPr>
          <w:rFonts w:ascii="宋体" w:hAnsi="宋体" w:eastAsia="仿宋_GB2312" w:cs="宋体"/>
          <w:sz w:val="30"/>
          <w:szCs w:val="30"/>
        </w:rPr>
      </w:pPr>
      <w:r>
        <w:rPr>
          <w:rFonts w:hint="eastAsia" w:ascii="宋体" w:hAnsi="宋体" w:eastAsia="仿宋_GB2312" w:cs="宋体"/>
          <w:sz w:val="30"/>
          <w:szCs w:val="30"/>
        </w:rPr>
        <w:t>3、对于个别专家信息未完善的，主要原因是专家保存银行账户信息后，未提交审核导致。请及时提醒评标专家将个人信息完善并及时提交审核。</w:t>
      </w:r>
    </w:p>
    <w:p>
      <w:pPr>
        <w:spacing w:line="300" w:lineRule="auto"/>
        <w:jc w:val="center"/>
      </w:pPr>
      <w:r>
        <w:drawing>
          <wp:inline distT="0" distB="0" distL="114300" distR="114300">
            <wp:extent cx="5030470" cy="2320925"/>
            <wp:effectExtent l="0" t="0" r="13970" b="10795"/>
            <wp:docPr id="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30470" cy="232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00" w:lineRule="auto"/>
        <w:jc w:val="center"/>
      </w:pPr>
      <w:r>
        <w:drawing>
          <wp:inline distT="0" distB="0" distL="114300" distR="114300">
            <wp:extent cx="5133340" cy="2284095"/>
            <wp:effectExtent l="0" t="0" r="2540" b="190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33340" cy="228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00" w:lineRule="auto"/>
        <w:jc w:val="center"/>
      </w:pPr>
      <w:r>
        <w:drawing>
          <wp:inline distT="0" distB="0" distL="114300" distR="114300">
            <wp:extent cx="5060315" cy="2162810"/>
            <wp:effectExtent l="0" t="0" r="14605" b="127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60315" cy="216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00" w:lineRule="auto"/>
        <w:rPr>
          <w:rFonts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三、登录支付平台</w:t>
      </w:r>
    </w:p>
    <w:p>
      <w:pPr>
        <w:spacing w:line="300" w:lineRule="auto"/>
        <w:ind w:firstLine="600" w:firstLineChars="200"/>
        <w:rPr>
          <w:rFonts w:ascii="宋体" w:hAnsi="宋体" w:eastAsia="仿宋_GB2312" w:cs="宋体"/>
          <w:sz w:val="30"/>
          <w:szCs w:val="30"/>
        </w:rPr>
      </w:pPr>
      <w:r>
        <w:rPr>
          <w:rFonts w:hint="eastAsia" w:ascii="宋体" w:hAnsi="宋体" w:eastAsia="仿宋_GB2312" w:cs="宋体"/>
          <w:sz w:val="30"/>
          <w:szCs w:val="30"/>
        </w:rPr>
        <w:t>项目信息成功推送以后，点击【支付】按钮，可进入支付平台。</w:t>
      </w:r>
    </w:p>
    <w:p>
      <w:pPr>
        <w:spacing w:line="300" w:lineRule="auto"/>
        <w:jc w:val="center"/>
      </w:pPr>
      <w:r>
        <w:drawing>
          <wp:inline distT="0" distB="0" distL="114300" distR="114300">
            <wp:extent cx="4975860" cy="2291080"/>
            <wp:effectExtent l="0" t="0" r="7620" b="10160"/>
            <wp:docPr id="1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75860" cy="229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00" w:lineRule="auto"/>
      </w:pPr>
      <w:r>
        <w:br w:type="page"/>
      </w:r>
    </w:p>
    <w:p>
      <w:pPr>
        <w:spacing w:line="300" w:lineRule="auto"/>
        <w:ind w:firstLine="562" w:firstLineChars="200"/>
        <w:rPr>
          <w:rFonts w:asciiTheme="minorEastAsia" w:hAnsiTheme="minorEastAsia" w:cstheme="minorEastAsia"/>
          <w:b/>
          <w:bCs/>
          <w:sz w:val="28"/>
          <w:szCs w:val="28"/>
        </w:rPr>
      </w:pPr>
      <w:r>
        <w:rPr>
          <w:rFonts w:hint="eastAsia" w:asciiTheme="minorEastAsia" w:hAnsiTheme="minorEastAsia" w:cstheme="minorEastAsia"/>
          <w:b/>
          <w:bCs/>
          <w:sz w:val="28"/>
          <w:szCs w:val="28"/>
        </w:rPr>
        <w:t>1、预存款操作</w:t>
      </w:r>
    </w:p>
    <w:p>
      <w:pPr>
        <w:spacing w:line="300" w:lineRule="auto"/>
        <w:ind w:firstLine="600" w:firstLineChars="200"/>
        <w:rPr>
          <w:rFonts w:ascii="宋体" w:hAnsi="宋体" w:eastAsia="仿宋_GB2312" w:cs="宋体"/>
          <w:sz w:val="30"/>
          <w:szCs w:val="30"/>
        </w:rPr>
      </w:pPr>
      <w:r>
        <w:rPr>
          <w:rFonts w:hint="eastAsia" w:ascii="宋体" w:hAnsi="宋体" w:eastAsia="仿宋_GB2312" w:cs="宋体"/>
          <w:sz w:val="30"/>
          <w:szCs w:val="30"/>
        </w:rPr>
        <w:t>进入支付平台后，会自动注册一个交易集团名下子账户，对此子账户进行预存款操作。</w:t>
      </w:r>
    </w:p>
    <w:p>
      <w:pPr>
        <w:spacing w:line="300" w:lineRule="auto"/>
        <w:ind w:firstLine="600" w:firstLineChars="200"/>
        <w:rPr>
          <w:rFonts w:ascii="宋体" w:hAnsi="宋体" w:eastAsia="仿宋_GB2312" w:cs="宋体"/>
          <w:sz w:val="30"/>
          <w:szCs w:val="30"/>
        </w:rPr>
      </w:pPr>
      <w:r>
        <w:rPr>
          <w:rFonts w:hint="eastAsia" w:ascii="宋体" w:hAnsi="宋体" w:eastAsia="仿宋_GB2312" w:cs="宋体"/>
          <w:sz w:val="30"/>
          <w:szCs w:val="30"/>
        </w:rPr>
        <w:t>注意事项：平台子账号信息自动获取</w:t>
      </w:r>
      <w:r>
        <w:rPr>
          <w:rFonts w:ascii="宋体" w:hAnsi="宋体" w:eastAsia="仿宋_GB2312" w:cs="宋体"/>
          <w:sz w:val="30"/>
          <w:szCs w:val="30"/>
        </w:rPr>
        <w:t>CA</w:t>
      </w:r>
      <w:r>
        <w:rPr>
          <w:rFonts w:hint="eastAsia" w:ascii="宋体" w:hAnsi="宋体" w:eastAsia="仿宋_GB2312" w:cs="宋体"/>
          <w:sz w:val="30"/>
          <w:szCs w:val="30"/>
        </w:rPr>
        <w:t>锁中绑定的公司名称，同一公司使用同一子账户。</w:t>
      </w:r>
    </w:p>
    <w:p>
      <w:pPr>
        <w:spacing w:line="300" w:lineRule="auto"/>
        <w:ind w:firstLine="600" w:firstLineChars="200"/>
        <w:rPr>
          <w:rFonts w:hint="default" w:ascii="宋体" w:hAnsi="宋体" w:eastAsia="仿宋_GB2312" w:cs="宋体"/>
          <w:sz w:val="30"/>
          <w:szCs w:val="30"/>
          <w:lang w:val="en-US" w:eastAsia="zh-CN"/>
        </w:rPr>
      </w:pPr>
      <w:r>
        <w:rPr>
          <w:rFonts w:hint="eastAsia" w:ascii="宋体" w:hAnsi="宋体" w:eastAsia="仿宋_GB2312" w:cs="宋体"/>
          <w:sz w:val="30"/>
          <w:szCs w:val="30"/>
        </w:rPr>
        <w:t>转账时，用户名需填写系统中显示的主账号名称即“江西省公共资源交易集团有限公司”，账户号请输入系统自动产生的子账号</w:t>
      </w:r>
      <w:r>
        <w:rPr>
          <w:rFonts w:hint="eastAsia" w:ascii="宋体" w:hAnsi="宋体" w:eastAsia="仿宋_GB2312" w:cs="宋体"/>
          <w:sz w:val="30"/>
          <w:szCs w:val="30"/>
          <w:lang w:eastAsia="zh-CN"/>
        </w:rPr>
        <w:t>，</w:t>
      </w:r>
      <w:r>
        <w:rPr>
          <w:rFonts w:hint="eastAsia" w:ascii="宋体" w:hAnsi="宋体" w:eastAsia="仿宋_GB2312" w:cs="宋体"/>
          <w:sz w:val="30"/>
          <w:szCs w:val="30"/>
          <w:lang w:val="en-US" w:eastAsia="zh-CN"/>
        </w:rPr>
        <w:t>银行名称为‘平安银行股份有限公司南昌分行</w:t>
      </w:r>
      <w:bookmarkStart w:id="0" w:name="_GoBack"/>
      <w:bookmarkEnd w:id="0"/>
      <w:r>
        <w:rPr>
          <w:rFonts w:hint="eastAsia" w:ascii="宋体" w:hAnsi="宋体" w:eastAsia="仿宋_GB2312" w:cs="宋体"/>
          <w:sz w:val="30"/>
          <w:szCs w:val="30"/>
          <w:lang w:val="en-US" w:eastAsia="zh-CN"/>
        </w:rPr>
        <w:t>’,行号为‘307421033101’。</w:t>
      </w:r>
    </w:p>
    <w:p>
      <w:pPr>
        <w:spacing w:line="300" w:lineRule="auto"/>
        <w:jc w:val="center"/>
      </w:pPr>
      <w:r>
        <w:drawing>
          <wp:inline distT="0" distB="0" distL="114300" distR="114300">
            <wp:extent cx="4991735" cy="2457450"/>
            <wp:effectExtent l="0" t="0" r="6985" b="11430"/>
            <wp:docPr id="2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9173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00" w:lineRule="auto"/>
        <w:ind w:firstLine="562" w:firstLineChars="200"/>
        <w:rPr>
          <w:rFonts w:asciiTheme="minorEastAsia" w:hAnsiTheme="minorEastAsia" w:cstheme="minorEastAsia"/>
          <w:b/>
          <w:bCs/>
          <w:sz w:val="28"/>
          <w:szCs w:val="28"/>
        </w:rPr>
      </w:pPr>
      <w:r>
        <w:rPr>
          <w:rFonts w:asciiTheme="minorEastAsia" w:hAnsiTheme="minorEastAsia" w:cstheme="minorEastAsia"/>
          <w:b/>
          <w:bCs/>
          <w:sz w:val="28"/>
          <w:szCs w:val="28"/>
        </w:rPr>
        <w:t>2、</w:t>
      </w:r>
      <w:r>
        <w:rPr>
          <w:rFonts w:hint="eastAsia" w:asciiTheme="minorEastAsia" w:hAnsiTheme="minorEastAsia" w:cstheme="minorEastAsia"/>
          <w:b/>
          <w:bCs/>
          <w:sz w:val="28"/>
          <w:szCs w:val="28"/>
        </w:rPr>
        <w:t>支付操作</w:t>
      </w:r>
    </w:p>
    <w:p>
      <w:pPr>
        <w:spacing w:line="300" w:lineRule="auto"/>
        <w:ind w:firstLine="600" w:firstLineChars="200"/>
        <w:rPr>
          <w:rFonts w:ascii="宋体" w:hAnsi="宋体" w:eastAsia="仿宋_GB2312" w:cs="宋体"/>
          <w:sz w:val="30"/>
          <w:szCs w:val="30"/>
        </w:rPr>
      </w:pPr>
      <w:r>
        <w:rPr>
          <w:rFonts w:hint="eastAsia" w:ascii="宋体" w:hAnsi="宋体" w:eastAsia="仿宋_GB2312" w:cs="宋体"/>
          <w:sz w:val="30"/>
          <w:szCs w:val="30"/>
        </w:rPr>
        <w:t>确认账号余额充足后，选择【项目列表】，选择对应项目，点击【确认费用】，即可查看项目信息。</w:t>
      </w:r>
    </w:p>
    <w:p>
      <w:pPr>
        <w:spacing w:line="300" w:lineRule="auto"/>
        <w:jc w:val="center"/>
      </w:pPr>
      <w:r>
        <w:drawing>
          <wp:inline distT="0" distB="0" distL="114300" distR="114300">
            <wp:extent cx="5196840" cy="2554605"/>
            <wp:effectExtent l="0" t="0" r="0" b="5715"/>
            <wp:docPr id="2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96840" cy="255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00" w:lineRule="auto"/>
        <w:jc w:val="center"/>
      </w:pPr>
      <w:r>
        <w:drawing>
          <wp:inline distT="0" distB="0" distL="114300" distR="114300">
            <wp:extent cx="5127625" cy="2510790"/>
            <wp:effectExtent l="0" t="0" r="8255" b="3810"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27625" cy="251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00" w:lineRule="auto"/>
        <w:ind w:firstLine="600" w:firstLineChars="200"/>
        <w:rPr>
          <w:rFonts w:hint="eastAsia" w:ascii="宋体" w:hAnsi="宋体" w:eastAsia="仿宋_GB2312" w:cs="宋体"/>
          <w:sz w:val="30"/>
          <w:szCs w:val="30"/>
        </w:rPr>
      </w:pPr>
      <w:r>
        <w:rPr>
          <w:rFonts w:hint="eastAsia" w:ascii="宋体" w:hAnsi="宋体" w:eastAsia="仿宋_GB2312" w:cs="宋体"/>
          <w:sz w:val="30"/>
          <w:szCs w:val="30"/>
        </w:rPr>
        <w:t>点击【下一步】可以查看收费规则，系统会自动计算需要收取的费用，对于有异议的费用，代理可以对其进行调整。</w:t>
      </w:r>
    </w:p>
    <w:p>
      <w:pPr>
        <w:spacing w:line="300" w:lineRule="auto"/>
        <w:rPr>
          <w:rFonts w:hint="eastAsia" w:ascii="宋体" w:hAnsi="宋体" w:eastAsia="仿宋_GB2312" w:cs="宋体"/>
          <w:sz w:val="30"/>
          <w:szCs w:val="30"/>
        </w:rPr>
      </w:pPr>
      <w:r>
        <w:rPr>
          <w:rFonts w:hint="eastAsia" w:ascii="宋体" w:hAnsi="宋体" w:eastAsia="仿宋_GB2312" w:cs="宋体"/>
          <w:sz w:val="30"/>
          <w:szCs w:val="30"/>
          <w:lang w:val="en-US" w:eastAsia="zh-CN"/>
        </w:rPr>
        <w:t>注意事项：专家评标时间从专家签到开始进行计算。</w:t>
      </w:r>
    </w:p>
    <w:p>
      <w:pPr>
        <w:spacing w:line="300" w:lineRule="auto"/>
        <w:jc w:val="center"/>
      </w:pPr>
      <w:r>
        <w:drawing>
          <wp:inline distT="0" distB="0" distL="114300" distR="114300">
            <wp:extent cx="5268595" cy="2369185"/>
            <wp:effectExtent l="0" t="0" r="4445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6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00" w:lineRule="auto"/>
      </w:pPr>
    </w:p>
    <w:p>
      <w:pPr>
        <w:spacing w:line="300" w:lineRule="auto"/>
        <w:jc w:val="center"/>
      </w:pPr>
      <w:r>
        <w:drawing>
          <wp:inline distT="0" distB="0" distL="114300" distR="114300">
            <wp:extent cx="5271770" cy="2424430"/>
            <wp:effectExtent l="0" t="0" r="1270" b="1397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2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00" w:lineRule="auto"/>
        <w:ind w:firstLine="600" w:firstLineChars="200"/>
        <w:rPr>
          <w:rFonts w:ascii="宋体" w:hAnsi="宋体" w:eastAsia="仿宋_GB2312" w:cs="宋体"/>
          <w:sz w:val="30"/>
          <w:szCs w:val="30"/>
        </w:rPr>
      </w:pPr>
      <w:r>
        <w:rPr>
          <w:rFonts w:hint="eastAsia" w:ascii="宋体" w:hAnsi="宋体" w:eastAsia="仿宋_GB2312" w:cs="宋体"/>
          <w:sz w:val="30"/>
          <w:szCs w:val="30"/>
        </w:rPr>
        <w:t>之后点击【下一步】，进入签字确认界面，上传电子签名后，点击【确认】。</w:t>
      </w:r>
    </w:p>
    <w:p>
      <w:pPr>
        <w:spacing w:line="300" w:lineRule="auto"/>
        <w:ind w:firstLine="600" w:firstLineChars="200"/>
        <w:rPr>
          <w:rFonts w:ascii="宋体" w:hAnsi="宋体" w:eastAsia="仿宋_GB2312" w:cs="宋体"/>
          <w:sz w:val="30"/>
          <w:szCs w:val="30"/>
        </w:rPr>
      </w:pPr>
    </w:p>
    <w:p>
      <w:pPr>
        <w:spacing w:line="300" w:lineRule="auto"/>
        <w:jc w:val="center"/>
      </w:pPr>
      <w:r>
        <w:drawing>
          <wp:inline distT="0" distB="0" distL="114300" distR="114300">
            <wp:extent cx="5264785" cy="2517140"/>
            <wp:effectExtent l="0" t="0" r="8255" b="12700"/>
            <wp:docPr id="1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1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00" w:lineRule="auto"/>
        <w:rPr>
          <w:rFonts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仿宋_GB2312" w:cs="宋体"/>
          <w:sz w:val="30"/>
          <w:szCs w:val="30"/>
        </w:rPr>
        <w:t>费用支付操作完毕，第二个工作日可以查询支付情况。</w:t>
      </w:r>
      <w:r>
        <w:drawing>
          <wp:inline distT="0" distB="0" distL="114300" distR="114300">
            <wp:extent cx="5269230" cy="2446655"/>
            <wp:effectExtent l="0" t="0" r="3810" b="6985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4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sz w:val="28"/>
          <w:szCs w:val="28"/>
        </w:rPr>
        <w:t>四、支付信息查看</w:t>
      </w:r>
    </w:p>
    <w:p>
      <w:pPr>
        <w:ind w:firstLine="600" w:firstLineChars="200"/>
        <w:rPr>
          <w:rFonts w:ascii="宋体" w:hAnsi="宋体" w:eastAsia="仿宋_GB2312" w:cs="宋体"/>
          <w:sz w:val="30"/>
          <w:szCs w:val="30"/>
        </w:rPr>
      </w:pPr>
      <w:r>
        <w:rPr>
          <w:rFonts w:hint="eastAsia" w:ascii="宋体" w:hAnsi="宋体" w:eastAsia="仿宋_GB2312" w:cs="宋体"/>
          <w:sz w:val="30"/>
          <w:szCs w:val="30"/>
        </w:rPr>
        <w:t>支付完成后，业务系统中每日定时更新支付状态，支付平台可随时查看。</w:t>
      </w:r>
    </w:p>
    <w:p>
      <w:pPr>
        <w:spacing w:line="300" w:lineRule="auto"/>
        <w:jc w:val="center"/>
      </w:pPr>
      <w:r>
        <w:drawing>
          <wp:inline distT="0" distB="0" distL="114300" distR="114300">
            <wp:extent cx="4923790" cy="2327910"/>
            <wp:effectExtent l="0" t="0" r="13970" b="3810"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23790" cy="232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00" w:lineRule="auto"/>
        <w:jc w:val="center"/>
      </w:pPr>
      <w:r>
        <w:rPr>
          <w:rFonts w:hint="eastAsia"/>
        </w:rPr>
        <w:t>图15</w:t>
      </w:r>
    </w:p>
    <w:p>
      <w:pPr>
        <w:spacing w:line="300" w:lineRule="auto"/>
        <w:jc w:val="center"/>
      </w:pPr>
      <w:r>
        <w:drawing>
          <wp:inline distT="0" distB="0" distL="114300" distR="114300">
            <wp:extent cx="4947285" cy="2204085"/>
            <wp:effectExtent l="0" t="0" r="5715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47285" cy="220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00" w:lineRule="auto"/>
        <w:jc w:val="center"/>
      </w:pPr>
      <w:r>
        <w:drawing>
          <wp:inline distT="0" distB="0" distL="114300" distR="114300">
            <wp:extent cx="5263515" cy="2201545"/>
            <wp:effectExtent l="0" t="0" r="9525" b="8255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20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00" w:lineRule="auto"/>
        <w:rPr>
          <w:rFonts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五、历史数据查看</w:t>
      </w:r>
    </w:p>
    <w:p>
      <w:pPr>
        <w:ind w:firstLine="600" w:firstLineChars="200"/>
        <w:rPr>
          <w:rFonts w:ascii="宋体" w:hAnsi="宋体" w:eastAsia="仿宋_GB2312" w:cs="宋体"/>
          <w:sz w:val="30"/>
          <w:szCs w:val="30"/>
        </w:rPr>
      </w:pPr>
      <w:r>
        <w:rPr>
          <w:rFonts w:hint="eastAsia" w:ascii="宋体" w:hAnsi="宋体" w:eastAsia="仿宋_GB2312" w:cs="宋体"/>
          <w:sz w:val="30"/>
          <w:szCs w:val="30"/>
        </w:rPr>
        <w:t>代理可以在支付平台</w:t>
      </w:r>
      <w:r>
        <w:rPr>
          <w:rFonts w:hint="eastAsia" w:ascii="宋体" w:hAnsi="宋体" w:eastAsia="仿宋_GB2312" w:cs="宋体"/>
          <w:sz w:val="30"/>
          <w:szCs w:val="30"/>
          <w:lang w:val="en-US" w:eastAsia="zh-CN"/>
        </w:rPr>
        <w:t>查</w:t>
      </w:r>
      <w:r>
        <w:rPr>
          <w:rFonts w:hint="eastAsia" w:ascii="宋体" w:hAnsi="宋体" w:eastAsia="仿宋_GB2312" w:cs="宋体"/>
          <w:sz w:val="30"/>
          <w:szCs w:val="30"/>
        </w:rPr>
        <w:t>看支付</w:t>
      </w:r>
      <w:r>
        <w:rPr>
          <w:rFonts w:hint="eastAsia" w:ascii="宋体" w:hAnsi="宋体" w:eastAsia="仿宋_GB2312" w:cs="宋体"/>
          <w:sz w:val="30"/>
          <w:szCs w:val="30"/>
          <w:lang w:val="en-US" w:eastAsia="zh-CN"/>
        </w:rPr>
        <w:t>历史</w:t>
      </w:r>
      <w:r>
        <w:rPr>
          <w:rFonts w:hint="eastAsia" w:ascii="宋体" w:hAnsi="宋体" w:eastAsia="仿宋_GB2312" w:cs="宋体"/>
          <w:sz w:val="30"/>
          <w:szCs w:val="30"/>
        </w:rPr>
        <w:t>信息，如下图展示</w:t>
      </w:r>
    </w:p>
    <w:p>
      <w:pPr>
        <w:spacing w:line="300" w:lineRule="auto"/>
        <w:jc w:val="center"/>
      </w:pPr>
      <w:r>
        <w:drawing>
          <wp:inline distT="0" distB="0" distL="114300" distR="114300">
            <wp:extent cx="5266690" cy="2071370"/>
            <wp:effectExtent l="0" t="0" r="6350" b="1270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7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00" w:lineRule="auto"/>
        <w:jc w:val="center"/>
      </w:pPr>
      <w:r>
        <w:drawing>
          <wp:inline distT="0" distB="0" distL="114300" distR="114300">
            <wp:extent cx="5273040" cy="2296795"/>
            <wp:effectExtent l="0" t="0" r="0" b="4445"/>
            <wp:docPr id="1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29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00" w:lineRule="auto"/>
        <w:jc w:val="center"/>
        <w:rPr>
          <w:rFonts w:ascii="宋体" w:hAnsi="宋体" w:eastAsia="宋体" w:cs="宋体"/>
          <w:sz w:val="24"/>
        </w:rPr>
      </w:pPr>
      <w:r>
        <w:drawing>
          <wp:inline distT="0" distB="0" distL="114300" distR="114300">
            <wp:extent cx="5268595" cy="2198370"/>
            <wp:effectExtent l="0" t="0" r="4445" b="11430"/>
            <wp:docPr id="2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19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00" w:lineRule="auto"/>
        <w:rPr>
          <w:rFonts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六、退款</w:t>
      </w:r>
    </w:p>
    <w:p>
      <w:pPr>
        <w:ind w:firstLine="600" w:firstLineChars="200"/>
        <w:rPr>
          <w:rFonts w:ascii="宋体" w:hAnsi="宋体" w:eastAsia="仿宋_GB2312" w:cs="宋体"/>
          <w:sz w:val="30"/>
          <w:szCs w:val="30"/>
        </w:rPr>
      </w:pPr>
      <w:r>
        <w:rPr>
          <w:rFonts w:hint="eastAsia" w:ascii="宋体" w:hAnsi="宋体" w:eastAsia="仿宋_GB2312" w:cs="宋体"/>
          <w:sz w:val="30"/>
          <w:szCs w:val="30"/>
        </w:rPr>
        <w:t>如果确认不再办理相应业务后，可提交申请，由省交易集团确认，对预存款进行退款。</w:t>
      </w:r>
    </w:p>
    <w:p>
      <w:pPr>
        <w:spacing w:line="300" w:lineRule="auto"/>
        <w:jc w:val="center"/>
      </w:pPr>
      <w:r>
        <w:drawing>
          <wp:inline distT="0" distB="0" distL="114300" distR="114300">
            <wp:extent cx="5266690" cy="2216785"/>
            <wp:effectExtent l="0" t="0" r="6350" b="8255"/>
            <wp:docPr id="2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1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JlNGVmNjFmODA1MWFkMmJhMTY5NmM2OTgyNzUxNjkifQ=="/>
  </w:docVars>
  <w:rsids>
    <w:rsidRoot w:val="00B23D7B"/>
    <w:rsid w:val="00051A3E"/>
    <w:rsid w:val="001925FE"/>
    <w:rsid w:val="001F6A95"/>
    <w:rsid w:val="00667E8B"/>
    <w:rsid w:val="0085585E"/>
    <w:rsid w:val="008E7FF8"/>
    <w:rsid w:val="00980F1C"/>
    <w:rsid w:val="009A335F"/>
    <w:rsid w:val="009E0801"/>
    <w:rsid w:val="00B1406F"/>
    <w:rsid w:val="00B23D7B"/>
    <w:rsid w:val="00B64C89"/>
    <w:rsid w:val="00C55B8C"/>
    <w:rsid w:val="00EB6A4B"/>
    <w:rsid w:val="00F12B41"/>
    <w:rsid w:val="01DC09D6"/>
    <w:rsid w:val="03B114DE"/>
    <w:rsid w:val="041D0CB7"/>
    <w:rsid w:val="05237BC9"/>
    <w:rsid w:val="057E03BB"/>
    <w:rsid w:val="062F56A9"/>
    <w:rsid w:val="064166FC"/>
    <w:rsid w:val="0B4A6210"/>
    <w:rsid w:val="0B4F2BE0"/>
    <w:rsid w:val="0B5B0D3C"/>
    <w:rsid w:val="0C0D1053"/>
    <w:rsid w:val="0C824E0C"/>
    <w:rsid w:val="0D3F3A0E"/>
    <w:rsid w:val="0EC86A0D"/>
    <w:rsid w:val="0FF50FB5"/>
    <w:rsid w:val="0FFD7C8E"/>
    <w:rsid w:val="11692E07"/>
    <w:rsid w:val="13F04B2B"/>
    <w:rsid w:val="140C03FA"/>
    <w:rsid w:val="16A66ACB"/>
    <w:rsid w:val="1A473F02"/>
    <w:rsid w:val="1B9408FD"/>
    <w:rsid w:val="1E4C4E86"/>
    <w:rsid w:val="22F9048A"/>
    <w:rsid w:val="235D516D"/>
    <w:rsid w:val="29DA268F"/>
    <w:rsid w:val="2AA63DE5"/>
    <w:rsid w:val="2DE771F2"/>
    <w:rsid w:val="35211654"/>
    <w:rsid w:val="35664EDC"/>
    <w:rsid w:val="36BD466D"/>
    <w:rsid w:val="3C07254A"/>
    <w:rsid w:val="3C74072E"/>
    <w:rsid w:val="3CF33CA7"/>
    <w:rsid w:val="45981CFC"/>
    <w:rsid w:val="53D46276"/>
    <w:rsid w:val="55696526"/>
    <w:rsid w:val="55FA39F7"/>
    <w:rsid w:val="5878114F"/>
    <w:rsid w:val="5C7048D6"/>
    <w:rsid w:val="5EA16433"/>
    <w:rsid w:val="62B9350D"/>
    <w:rsid w:val="652313B5"/>
    <w:rsid w:val="67556BB4"/>
    <w:rsid w:val="69496146"/>
    <w:rsid w:val="6D231617"/>
    <w:rsid w:val="6D793174"/>
    <w:rsid w:val="72B65900"/>
    <w:rsid w:val="75B24E63"/>
    <w:rsid w:val="7654094D"/>
    <w:rsid w:val="78E44EF1"/>
    <w:rsid w:val="7A3C1B84"/>
    <w:rsid w:val="7B517327"/>
    <w:rsid w:val="7C075ACE"/>
    <w:rsid w:val="7D4B57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autoRedefine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6">
    <w:name w:val="Default Paragraph Font"/>
    <w:autoRedefine/>
    <w:semiHidden/>
    <w:unhideWhenUsed/>
    <w:qFormat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8"/>
    <w:qFormat/>
    <w:uiPriority w:val="0"/>
    <w:rPr>
      <w:sz w:val="18"/>
      <w:szCs w:val="18"/>
    </w:rPr>
  </w:style>
  <w:style w:type="character" w:styleId="7">
    <w:name w:val="Hyperlink"/>
    <w:basedOn w:val="6"/>
    <w:autoRedefine/>
    <w:qFormat/>
    <w:uiPriority w:val="0"/>
    <w:rPr>
      <w:color w:val="0000FF"/>
      <w:u w:val="single"/>
    </w:rPr>
  </w:style>
  <w:style w:type="character" w:customStyle="1" w:styleId="8">
    <w:name w:val="批注框文本 Char"/>
    <w:basedOn w:val="6"/>
    <w:link w:val="4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HP Inc.</Company>
  <Pages>10</Pages>
  <Words>162</Words>
  <Characters>929</Characters>
  <Lines>7</Lines>
  <Paragraphs>2</Paragraphs>
  <TotalTime>2</TotalTime>
  <ScaleCrop>false</ScaleCrop>
  <LinksUpToDate>false</LinksUpToDate>
  <CharactersWithSpaces>1089</CharactersWithSpaces>
  <Application>WPS Office_12.1.0.16399_F1E327BC-269C-435d-A152-05C5408002CA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2024-02-08T05:34:00Z</dcterms:created>
  <dc:creator>xia</dc:creator>
  <cp:lastModifiedBy>xia</cp:lastModifiedBy>
  <dcterms:modified xsi:type="dcterms:W3CDTF">2024-03-01T06:29:37Z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2052-12.1.0.16399</vt:lpwstr>
  </property>
  <property fmtid="{D5CDD505-2E9C-101B-9397-08002B2CF9AE}" pid="3" name="ICV">
    <vt:lpwstr>94846968EA7F49F09BBFA121723051AC_12</vt:lpwstr>
  </property>
</Properties>
</file>