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14:paraId="510A618E">
      <w:pPr>
        <w:widowControl/>
        <w:spacing w:line="360" w:lineRule="auto"/>
        <w:jc w:val="left"/>
        <w:rPr>
          <w:rFonts w:hint="eastAsia" w:eastAsia="黑体"/>
          <w:b/>
          <w:szCs w:val="21"/>
        </w:rPr>
      </w:pPr>
    </w:p>
    <w:p w14:paraId="57E11CAB">
      <w:pPr>
        <w:jc w:val="center"/>
        <w:rPr>
          <w:rFonts w:ascii="黑体" w:eastAsia="黑体"/>
          <w:b/>
          <w:sz w:val="52"/>
          <w:szCs w:val="52"/>
        </w:rPr>
      </w:pPr>
      <w:r>
        <w:rPr>
          <w:rFonts w:hint="eastAsia" w:ascii="黑体" w:eastAsia="黑体"/>
          <w:b/>
          <w:sz w:val="52"/>
          <w:szCs w:val="52"/>
        </w:rPr>
        <w:t>江西省公共资源电子交易服务平台</w:t>
      </w:r>
    </w:p>
    <w:p w14:paraId="46BDB0A4">
      <w:pPr>
        <w:jc w:val="center"/>
        <w:rPr>
          <w:rFonts w:ascii="黑体" w:eastAsia="黑体"/>
          <w:b/>
          <w:sz w:val="52"/>
          <w:szCs w:val="52"/>
        </w:rPr>
      </w:pPr>
      <w:r>
        <w:rPr>
          <w:rFonts w:hint="eastAsia" w:ascii="黑体" w:eastAsia="黑体"/>
          <w:b/>
          <w:sz w:val="52"/>
          <w:szCs w:val="52"/>
        </w:rPr>
        <w:t>政府采购子系统</w:t>
      </w:r>
    </w:p>
    <w:p w14:paraId="749661CB">
      <w:pPr>
        <w:jc w:val="center"/>
        <w:rPr>
          <w:rFonts w:ascii="黑体" w:eastAsia="黑体"/>
          <w:b/>
          <w:sz w:val="52"/>
          <w:szCs w:val="52"/>
        </w:rPr>
      </w:pPr>
      <w:r>
        <w:rPr>
          <w:rFonts w:hint="eastAsia" w:ascii="黑体" w:eastAsia="黑体"/>
          <w:b/>
          <w:sz w:val="52"/>
          <w:szCs w:val="52"/>
        </w:rPr>
        <w:t>采购单位操作手册</w:t>
      </w:r>
    </w:p>
    <w:p w14:paraId="3D40F47B">
      <w:pPr>
        <w:pStyle w:val="47"/>
        <w:ind w:firstLine="361"/>
        <w:jc w:val="left"/>
        <w:rPr>
          <w:rFonts w:ascii="宋体" w:hAnsi="宋体"/>
          <w:b/>
          <w:bCs/>
        </w:rPr>
      </w:pPr>
    </w:p>
    <w:p w14:paraId="79EDAC1D">
      <w:pPr>
        <w:pStyle w:val="47"/>
        <w:ind w:firstLine="361"/>
        <w:jc w:val="left"/>
        <w:rPr>
          <w:rFonts w:ascii="宋体" w:hAnsi="宋体"/>
          <w:b/>
          <w:bCs/>
        </w:rPr>
      </w:pPr>
    </w:p>
    <w:p w14:paraId="0A656B3C">
      <w:pPr>
        <w:pStyle w:val="47"/>
        <w:ind w:firstLine="361"/>
        <w:jc w:val="left"/>
        <w:rPr>
          <w:rFonts w:ascii="宋体" w:hAnsi="宋体"/>
          <w:b/>
          <w:bCs/>
        </w:rPr>
      </w:pPr>
    </w:p>
    <w:p w14:paraId="165A6C94">
      <w:pPr>
        <w:pStyle w:val="47"/>
        <w:ind w:firstLine="361"/>
        <w:jc w:val="left"/>
        <w:rPr>
          <w:rFonts w:ascii="宋体" w:hAnsi="宋体"/>
          <w:b/>
          <w:bCs/>
        </w:rPr>
      </w:pPr>
    </w:p>
    <w:p w14:paraId="008221BF">
      <w:pPr>
        <w:pStyle w:val="47"/>
        <w:ind w:firstLine="0" w:firstLineChars="0"/>
        <w:jc w:val="left"/>
        <w:rPr>
          <w:rFonts w:ascii="宋体" w:hAnsi="宋体"/>
          <w:b/>
          <w:bCs/>
        </w:rPr>
      </w:pPr>
    </w:p>
    <w:p w14:paraId="710A1A1E">
      <w:pPr>
        <w:pStyle w:val="47"/>
        <w:ind w:firstLine="361"/>
        <w:jc w:val="left"/>
        <w:rPr>
          <w:rFonts w:ascii="宋体" w:hAnsi="宋体"/>
          <w:b/>
          <w:bCs/>
        </w:rPr>
      </w:pPr>
    </w:p>
    <w:p w14:paraId="074552D0">
      <w:pPr>
        <w:pStyle w:val="47"/>
        <w:ind w:firstLine="361"/>
        <w:jc w:val="left"/>
        <w:rPr>
          <w:rFonts w:ascii="宋体" w:hAnsi="宋体"/>
          <w:b/>
          <w:bCs/>
        </w:rPr>
      </w:pPr>
    </w:p>
    <w:p w14:paraId="62B27441">
      <w:pPr>
        <w:pStyle w:val="47"/>
        <w:ind w:firstLine="361"/>
        <w:jc w:val="left"/>
        <w:rPr>
          <w:rFonts w:ascii="宋体" w:hAnsi="宋体"/>
          <w:b/>
          <w:bCs/>
        </w:rPr>
      </w:pPr>
    </w:p>
    <w:p w14:paraId="374B8807">
      <w:pPr>
        <w:pStyle w:val="47"/>
        <w:ind w:firstLine="361"/>
        <w:jc w:val="left"/>
        <w:rPr>
          <w:rFonts w:ascii="宋体" w:hAnsi="宋体"/>
          <w:b/>
          <w:bCs/>
        </w:rPr>
      </w:pPr>
    </w:p>
    <w:p w14:paraId="4C233CF1">
      <w:pPr>
        <w:pStyle w:val="47"/>
        <w:ind w:firstLine="361"/>
        <w:jc w:val="left"/>
        <w:rPr>
          <w:rFonts w:ascii="宋体" w:hAnsi="宋体"/>
          <w:b/>
          <w:bCs/>
        </w:rPr>
      </w:pPr>
    </w:p>
    <w:p w14:paraId="7717D4BB">
      <w:pPr>
        <w:pStyle w:val="47"/>
        <w:ind w:firstLine="361"/>
        <w:jc w:val="left"/>
        <w:rPr>
          <w:rFonts w:ascii="宋体" w:hAnsi="宋体"/>
          <w:b/>
          <w:bCs/>
        </w:rPr>
      </w:pPr>
    </w:p>
    <w:p w14:paraId="2BBEC615">
      <w:pPr>
        <w:pStyle w:val="47"/>
        <w:ind w:firstLine="361"/>
        <w:jc w:val="left"/>
        <w:rPr>
          <w:rFonts w:ascii="宋体" w:hAnsi="宋体"/>
          <w:b/>
          <w:bCs/>
        </w:rPr>
      </w:pPr>
    </w:p>
    <w:p w14:paraId="264273B3">
      <w:pPr>
        <w:pStyle w:val="47"/>
        <w:ind w:firstLine="361"/>
        <w:jc w:val="left"/>
        <w:rPr>
          <w:rFonts w:ascii="宋体" w:hAnsi="宋体"/>
          <w:b/>
          <w:bCs/>
        </w:rPr>
      </w:pPr>
    </w:p>
    <w:p w14:paraId="09CBEBFE">
      <w:pPr>
        <w:pStyle w:val="47"/>
        <w:ind w:firstLine="361"/>
        <w:jc w:val="left"/>
        <w:rPr>
          <w:rFonts w:ascii="宋体" w:hAnsi="宋体"/>
          <w:b/>
          <w:bCs/>
        </w:rPr>
      </w:pPr>
    </w:p>
    <w:p w14:paraId="40995EEE">
      <w:pPr>
        <w:pStyle w:val="47"/>
        <w:ind w:firstLine="361"/>
        <w:jc w:val="left"/>
        <w:rPr>
          <w:rFonts w:ascii="宋体" w:hAnsi="宋体"/>
          <w:b/>
          <w:bCs/>
        </w:rPr>
      </w:pPr>
    </w:p>
    <w:p w14:paraId="11D0AC8C">
      <w:pPr>
        <w:pStyle w:val="47"/>
        <w:ind w:firstLine="361"/>
        <w:jc w:val="left"/>
        <w:rPr>
          <w:rFonts w:ascii="宋体" w:hAnsi="宋体"/>
          <w:b/>
          <w:bCs/>
        </w:rPr>
      </w:pPr>
    </w:p>
    <w:p w14:paraId="1B149796">
      <w:pPr>
        <w:pStyle w:val="47"/>
        <w:ind w:firstLine="0" w:firstLineChars="0"/>
        <w:jc w:val="left"/>
        <w:rPr>
          <w:rFonts w:ascii="宋体" w:hAnsi="宋体"/>
          <w:b/>
          <w:bCs/>
        </w:rPr>
      </w:pPr>
      <w:r>
        <w:rPr>
          <w:rFonts w:hint="eastAsia" w:ascii="宋体" w:hAnsi="宋体"/>
          <w:b/>
          <w:bCs/>
        </w:rPr>
        <w:t xml:space="preserve">   </w:t>
      </w:r>
    </w:p>
    <w:p w14:paraId="21C95626">
      <w:pPr>
        <w:pStyle w:val="47"/>
        <w:ind w:firstLine="361"/>
        <w:jc w:val="left"/>
        <w:rPr>
          <w:rFonts w:ascii="宋体" w:hAnsi="宋体"/>
          <w:b/>
          <w:bCs/>
        </w:rPr>
      </w:pPr>
    </w:p>
    <w:p w14:paraId="1998F142">
      <w:pPr>
        <w:pStyle w:val="47"/>
        <w:ind w:firstLine="361"/>
        <w:jc w:val="left"/>
        <w:rPr>
          <w:rFonts w:ascii="宋体" w:hAnsi="宋体"/>
          <w:b/>
          <w:bCs/>
        </w:rPr>
      </w:pPr>
    </w:p>
    <w:p w14:paraId="14F60B24">
      <w:pPr>
        <w:jc w:val="center"/>
        <w:rPr>
          <w:rFonts w:eastAsia="仿宋_GB2312"/>
          <w:b/>
          <w:sz w:val="28"/>
          <w:szCs w:val="28"/>
          <w:shd w:val="pct10" w:color="auto" w:fill="FFFFFF"/>
        </w:rPr>
      </w:pPr>
      <w:r>
        <w:rPr>
          <w:rFonts w:hint="eastAsia" w:eastAsia="仿宋_GB2312"/>
          <w:b/>
          <w:sz w:val="28"/>
          <w:szCs w:val="28"/>
          <w:shd w:val="pct10" w:color="auto" w:fill="FFFFFF"/>
        </w:rPr>
        <w:t>免费技术支持电话：0512-58188507</w:t>
      </w:r>
    </w:p>
    <w:p w14:paraId="72B6F7BC">
      <w:pPr>
        <w:spacing w:after="6240" w:afterLines="2000"/>
        <w:rPr>
          <w:b/>
        </w:rPr>
      </w:pPr>
      <w:bookmarkStart w:id="37" w:name="_GoBack"/>
      <w:bookmarkEnd w:id="37"/>
    </w:p>
    <w:p w14:paraId="1E804805">
      <w:pPr>
        <w:pStyle w:val="43"/>
        <w:jc w:val="center"/>
        <w:rPr>
          <w:color w:val="000000" w:themeColor="text1"/>
          <w:sz w:val="36"/>
          <w:szCs w:val="36"/>
        </w:rPr>
      </w:pPr>
      <w:r>
        <w:rPr>
          <w:color w:val="000000" w:themeColor="text1"/>
          <w:sz w:val="36"/>
          <w:szCs w:val="36"/>
          <w:lang w:val="zh-CN"/>
        </w:rPr>
        <w:t>目录</w:t>
      </w:r>
    </w:p>
    <w:p w14:paraId="21C64360">
      <w:pPr>
        <w:pStyle w:val="22"/>
        <w:tabs>
          <w:tab w:val="right" w:leader="dot" w:pos="9026"/>
        </w:tabs>
      </w:pPr>
      <w:r>
        <w:fldChar w:fldCharType="begin"/>
      </w:r>
      <w:r>
        <w:instrText xml:space="preserve"> TOC \o "1-3" \h \z \u </w:instrText>
      </w:r>
      <w:r>
        <w:fldChar w:fldCharType="separate"/>
      </w:r>
      <w:r>
        <w:fldChar w:fldCharType="begin"/>
      </w:r>
      <w:r>
        <w:instrText xml:space="preserve"> HYPERLINK \l _Toc15060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0"/>
          <w:vertAlign w:val="baseline"/>
        </w:rPr>
        <w:t xml:space="preserve">1. </w:t>
      </w:r>
      <w:r>
        <w:rPr>
          <w:rFonts w:hint="eastAsia"/>
        </w:rPr>
        <w:t>系统大致介绍</w:t>
      </w:r>
      <w:r>
        <w:tab/>
      </w:r>
      <w:r>
        <w:fldChar w:fldCharType="begin"/>
      </w:r>
      <w:r>
        <w:instrText xml:space="preserve"> PAGEREF _Toc15060 \h </w:instrText>
      </w:r>
      <w:r>
        <w:fldChar w:fldCharType="separate"/>
      </w:r>
      <w:r>
        <w:t>4</w:t>
      </w:r>
      <w:r>
        <w:fldChar w:fldCharType="end"/>
      </w:r>
      <w:r>
        <w:fldChar w:fldCharType="end"/>
      </w:r>
    </w:p>
    <w:p w14:paraId="15BA072E">
      <w:pPr>
        <w:pStyle w:val="25"/>
        <w:tabs>
          <w:tab w:val="right" w:leader="dot" w:pos="9026"/>
          <w:tab w:val="clear" w:pos="1260"/>
          <w:tab w:val="clear" w:pos="8302"/>
        </w:tabs>
      </w:pPr>
      <w:r>
        <w:fldChar w:fldCharType="begin"/>
      </w:r>
      <w:r>
        <w:instrText xml:space="preserve"> HYPERLINK \l _Toc21931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30"/>
          <w:vertAlign w:val="baseline"/>
        </w:rPr>
        <w:t xml:space="preserve">1.1. </w:t>
      </w:r>
      <w:r>
        <w:rPr>
          <w:rFonts w:hint="eastAsia"/>
        </w:rPr>
        <w:t>门户网站简介</w:t>
      </w:r>
      <w:r>
        <w:tab/>
      </w:r>
      <w:r>
        <w:fldChar w:fldCharType="begin"/>
      </w:r>
      <w:r>
        <w:instrText xml:space="preserve"> PAGEREF _Toc21931 \h </w:instrText>
      </w:r>
      <w:r>
        <w:fldChar w:fldCharType="separate"/>
      </w:r>
      <w:r>
        <w:t>4</w:t>
      </w:r>
      <w:r>
        <w:fldChar w:fldCharType="end"/>
      </w:r>
      <w:r>
        <w:fldChar w:fldCharType="end"/>
      </w:r>
    </w:p>
    <w:p w14:paraId="5D1889E5">
      <w:pPr>
        <w:pStyle w:val="25"/>
        <w:tabs>
          <w:tab w:val="right" w:leader="dot" w:pos="9026"/>
          <w:tab w:val="clear" w:pos="1260"/>
          <w:tab w:val="clear" w:pos="8302"/>
        </w:tabs>
      </w:pPr>
      <w:r>
        <w:fldChar w:fldCharType="begin"/>
      </w:r>
      <w:r>
        <w:instrText xml:space="preserve"> HYPERLINK \l _Toc32447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30"/>
          <w:vertAlign w:val="baseline"/>
        </w:rPr>
        <w:t xml:space="preserve">1.2. </w:t>
      </w:r>
      <w:r>
        <w:t>用户登录</w:t>
      </w:r>
      <w:r>
        <w:tab/>
      </w:r>
      <w:r>
        <w:fldChar w:fldCharType="begin"/>
      </w:r>
      <w:r>
        <w:instrText xml:space="preserve"> PAGEREF _Toc32447 \h </w:instrText>
      </w:r>
      <w:r>
        <w:fldChar w:fldCharType="separate"/>
      </w:r>
      <w:r>
        <w:t>5</w:t>
      </w:r>
      <w:r>
        <w:fldChar w:fldCharType="end"/>
      </w:r>
      <w:r>
        <w:fldChar w:fldCharType="end"/>
      </w:r>
    </w:p>
    <w:p w14:paraId="46571A60">
      <w:pPr>
        <w:pStyle w:val="16"/>
        <w:tabs>
          <w:tab w:val="right" w:leader="dot" w:pos="9026"/>
          <w:tab w:val="clear" w:pos="1680"/>
          <w:tab w:val="clear" w:pos="8302"/>
        </w:tabs>
      </w:pPr>
      <w:r>
        <w:fldChar w:fldCharType="begin"/>
      </w:r>
      <w:r>
        <w:instrText xml:space="preserve"> HYPERLINK \l _Toc29738 </w:instrText>
      </w:r>
      <w:r>
        <w:fldChar w:fldCharType="separate"/>
      </w:r>
      <w:r>
        <w:t xml:space="preserve">1.2.1. </w:t>
      </w:r>
      <w:r>
        <w:rPr>
          <w:rFonts w:hint="eastAsia"/>
        </w:rPr>
        <w:t>完善基本信息</w:t>
      </w:r>
      <w:r>
        <w:tab/>
      </w:r>
      <w:r>
        <w:fldChar w:fldCharType="begin"/>
      </w:r>
      <w:r>
        <w:instrText xml:space="preserve"> PAGEREF _Toc29738 \h </w:instrText>
      </w:r>
      <w:r>
        <w:fldChar w:fldCharType="separate"/>
      </w:r>
      <w:r>
        <w:t>7</w:t>
      </w:r>
      <w:r>
        <w:fldChar w:fldCharType="end"/>
      </w:r>
      <w:r>
        <w:fldChar w:fldCharType="end"/>
      </w:r>
    </w:p>
    <w:p w14:paraId="178FEBE2">
      <w:pPr>
        <w:pStyle w:val="16"/>
        <w:tabs>
          <w:tab w:val="right" w:leader="dot" w:pos="9026"/>
          <w:tab w:val="clear" w:pos="1680"/>
          <w:tab w:val="clear" w:pos="8302"/>
        </w:tabs>
      </w:pPr>
      <w:r>
        <w:fldChar w:fldCharType="begin"/>
      </w:r>
      <w:r>
        <w:instrText xml:space="preserve"> HYPERLINK \l _Toc27046 </w:instrText>
      </w:r>
      <w:r>
        <w:fldChar w:fldCharType="separate"/>
      </w:r>
      <w:r>
        <w:t>1.2.2. 设置主管预算单位</w:t>
      </w:r>
      <w:r>
        <w:tab/>
      </w:r>
      <w:r>
        <w:fldChar w:fldCharType="begin"/>
      </w:r>
      <w:r>
        <w:instrText xml:space="preserve"> PAGEREF _Toc27046 \h </w:instrText>
      </w:r>
      <w:r>
        <w:fldChar w:fldCharType="separate"/>
      </w:r>
      <w:r>
        <w:t>8</w:t>
      </w:r>
      <w:r>
        <w:fldChar w:fldCharType="end"/>
      </w:r>
      <w:r>
        <w:fldChar w:fldCharType="end"/>
      </w:r>
    </w:p>
    <w:p w14:paraId="65A6649E">
      <w:pPr>
        <w:pStyle w:val="16"/>
        <w:tabs>
          <w:tab w:val="right" w:leader="dot" w:pos="9026"/>
          <w:tab w:val="clear" w:pos="1680"/>
          <w:tab w:val="clear" w:pos="8302"/>
        </w:tabs>
      </w:pPr>
      <w:r>
        <w:fldChar w:fldCharType="begin"/>
      </w:r>
      <w:r>
        <w:instrText xml:space="preserve"> HYPERLINK \l _Toc20712 </w:instrText>
      </w:r>
      <w:r>
        <w:fldChar w:fldCharType="separate"/>
      </w:r>
      <w:r>
        <w:t xml:space="preserve">1.2.3. </w:t>
      </w:r>
      <w:r>
        <w:rPr>
          <w:rFonts w:hint="eastAsia"/>
        </w:rPr>
        <w:t>确认隶属关系</w:t>
      </w:r>
      <w:r>
        <w:tab/>
      </w:r>
      <w:r>
        <w:fldChar w:fldCharType="begin"/>
      </w:r>
      <w:r>
        <w:instrText xml:space="preserve"> PAGEREF _Toc20712 \h </w:instrText>
      </w:r>
      <w:r>
        <w:fldChar w:fldCharType="separate"/>
      </w:r>
      <w:r>
        <w:t>9</w:t>
      </w:r>
      <w:r>
        <w:fldChar w:fldCharType="end"/>
      </w:r>
      <w:r>
        <w:fldChar w:fldCharType="end"/>
      </w:r>
    </w:p>
    <w:p w14:paraId="38E74438">
      <w:pPr>
        <w:pStyle w:val="16"/>
        <w:tabs>
          <w:tab w:val="right" w:leader="dot" w:pos="9026"/>
          <w:tab w:val="clear" w:pos="1680"/>
          <w:tab w:val="clear" w:pos="8302"/>
        </w:tabs>
      </w:pPr>
      <w:r>
        <w:fldChar w:fldCharType="begin"/>
      </w:r>
      <w:r>
        <w:instrText xml:space="preserve"> HYPERLINK \l _Toc10540 </w:instrText>
      </w:r>
      <w:r>
        <w:fldChar w:fldCharType="separate"/>
      </w:r>
      <w:r>
        <w:t xml:space="preserve">1.2.4. </w:t>
      </w:r>
      <w:r>
        <w:rPr>
          <w:rFonts w:hint="eastAsia"/>
        </w:rPr>
        <w:t>CA证书激活</w:t>
      </w:r>
      <w:r>
        <w:tab/>
      </w:r>
      <w:r>
        <w:fldChar w:fldCharType="begin"/>
      </w:r>
      <w:r>
        <w:instrText xml:space="preserve"> PAGEREF _Toc10540 \h </w:instrText>
      </w:r>
      <w:r>
        <w:fldChar w:fldCharType="separate"/>
      </w:r>
      <w:r>
        <w:t>10</w:t>
      </w:r>
      <w:r>
        <w:fldChar w:fldCharType="end"/>
      </w:r>
      <w:r>
        <w:fldChar w:fldCharType="end"/>
      </w:r>
    </w:p>
    <w:p w14:paraId="24C72C0D">
      <w:pPr>
        <w:pStyle w:val="25"/>
        <w:tabs>
          <w:tab w:val="right" w:leader="dot" w:pos="9026"/>
          <w:tab w:val="clear" w:pos="1260"/>
          <w:tab w:val="clear" w:pos="8302"/>
        </w:tabs>
      </w:pPr>
      <w:r>
        <w:fldChar w:fldCharType="begin"/>
      </w:r>
      <w:r>
        <w:instrText xml:space="preserve"> HYPERLINK \l _Toc1717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30"/>
          <w:vertAlign w:val="baseline"/>
        </w:rPr>
        <w:t xml:space="preserve">1.3. </w:t>
      </w:r>
      <w:r>
        <w:t>业务模块简介</w:t>
      </w:r>
      <w:r>
        <w:tab/>
      </w:r>
      <w:r>
        <w:fldChar w:fldCharType="begin"/>
      </w:r>
      <w:r>
        <w:instrText xml:space="preserve"> PAGEREF _Toc1717 \h </w:instrText>
      </w:r>
      <w:r>
        <w:fldChar w:fldCharType="separate"/>
      </w:r>
      <w:r>
        <w:t>11</w:t>
      </w:r>
      <w:r>
        <w:fldChar w:fldCharType="end"/>
      </w:r>
      <w:r>
        <w:fldChar w:fldCharType="end"/>
      </w:r>
    </w:p>
    <w:p w14:paraId="3AEE3DD0">
      <w:pPr>
        <w:pStyle w:val="22"/>
        <w:tabs>
          <w:tab w:val="right" w:leader="dot" w:pos="9026"/>
        </w:tabs>
      </w:pPr>
      <w:r>
        <w:fldChar w:fldCharType="begin"/>
      </w:r>
      <w:r>
        <w:instrText xml:space="preserve"> HYPERLINK \l _Toc18895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0"/>
          <w:vertAlign w:val="baseline"/>
        </w:rPr>
        <w:t xml:space="preserve">2. </w:t>
      </w:r>
      <w:r>
        <w:rPr>
          <w:rFonts w:hint="eastAsia"/>
        </w:rPr>
        <w:t>采购计划</w:t>
      </w:r>
      <w:r>
        <w:tab/>
      </w:r>
      <w:r>
        <w:fldChar w:fldCharType="begin"/>
      </w:r>
      <w:r>
        <w:instrText xml:space="preserve"> PAGEREF _Toc18895 \h </w:instrText>
      </w:r>
      <w:r>
        <w:fldChar w:fldCharType="separate"/>
      </w:r>
      <w:r>
        <w:t>12</w:t>
      </w:r>
      <w:r>
        <w:fldChar w:fldCharType="end"/>
      </w:r>
      <w:r>
        <w:fldChar w:fldCharType="end"/>
      </w:r>
    </w:p>
    <w:p w14:paraId="0C190055">
      <w:pPr>
        <w:pStyle w:val="25"/>
        <w:tabs>
          <w:tab w:val="right" w:leader="dot" w:pos="9026"/>
          <w:tab w:val="clear" w:pos="1260"/>
          <w:tab w:val="clear" w:pos="8302"/>
        </w:tabs>
      </w:pPr>
      <w:r>
        <w:fldChar w:fldCharType="begin"/>
      </w:r>
      <w:r>
        <w:instrText xml:space="preserve"> HYPERLINK \l _Toc339 </w:instrText>
      </w:r>
      <w:r>
        <w:fldChar w:fldCharType="separate"/>
      </w:r>
      <w:r>
        <w:rPr>
          <w:rFonts w:hint="default"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30"/>
          <w:vertAlign w:val="baseline"/>
          <w:lang w:val="en-US" w:eastAsia="zh-CN"/>
        </w:rPr>
        <w:t xml:space="preserve">2.1. </w:t>
      </w:r>
      <w:r>
        <w:rPr>
          <w:rFonts w:hint="eastAsia"/>
          <w:lang w:val="en-US" w:eastAsia="zh-CN"/>
        </w:rPr>
        <w:t>采购预算查询</w:t>
      </w:r>
      <w:r>
        <w:tab/>
      </w:r>
      <w:r>
        <w:fldChar w:fldCharType="begin"/>
      </w:r>
      <w:r>
        <w:instrText xml:space="preserve"> PAGEREF _Toc339 \h </w:instrText>
      </w:r>
      <w:r>
        <w:fldChar w:fldCharType="separate"/>
      </w:r>
      <w:r>
        <w:t>12</w:t>
      </w:r>
      <w:r>
        <w:fldChar w:fldCharType="end"/>
      </w:r>
      <w:r>
        <w:fldChar w:fldCharType="end"/>
      </w:r>
    </w:p>
    <w:p w14:paraId="1DA49A62">
      <w:pPr>
        <w:pStyle w:val="25"/>
        <w:tabs>
          <w:tab w:val="right" w:leader="dot" w:pos="9026"/>
          <w:tab w:val="clear" w:pos="1260"/>
          <w:tab w:val="clear" w:pos="8302"/>
        </w:tabs>
      </w:pPr>
      <w:r>
        <w:fldChar w:fldCharType="begin"/>
      </w:r>
      <w:r>
        <w:instrText xml:space="preserve"> HYPERLINK \l _Toc23679 </w:instrText>
      </w:r>
      <w:r>
        <w:fldChar w:fldCharType="separate"/>
      </w:r>
      <w:r>
        <w:rPr>
          <w:rFonts w:hint="default"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30"/>
          <w:vertAlign w:val="baseline"/>
          <w:lang w:val="en-US" w:eastAsia="zh-CN"/>
        </w:rPr>
        <w:t xml:space="preserve">2.2. </w:t>
      </w:r>
      <w:r>
        <w:rPr>
          <w:rFonts w:hint="eastAsia"/>
          <w:lang w:val="en-US" w:eastAsia="zh-CN"/>
        </w:rPr>
        <w:t>项目类型及意向</w:t>
      </w:r>
      <w:r>
        <w:tab/>
      </w:r>
      <w:r>
        <w:fldChar w:fldCharType="begin"/>
      </w:r>
      <w:r>
        <w:instrText xml:space="preserve"> PAGEREF _Toc23679 \h </w:instrText>
      </w:r>
      <w:r>
        <w:fldChar w:fldCharType="separate"/>
      </w:r>
      <w:r>
        <w:t>12</w:t>
      </w:r>
      <w:r>
        <w:fldChar w:fldCharType="end"/>
      </w:r>
      <w:r>
        <w:fldChar w:fldCharType="end"/>
      </w:r>
    </w:p>
    <w:p w14:paraId="2DF9BBCD">
      <w:pPr>
        <w:pStyle w:val="25"/>
        <w:tabs>
          <w:tab w:val="right" w:leader="dot" w:pos="9026"/>
          <w:tab w:val="clear" w:pos="1260"/>
          <w:tab w:val="clear" w:pos="8302"/>
        </w:tabs>
      </w:pPr>
      <w:r>
        <w:fldChar w:fldCharType="begin"/>
      </w:r>
      <w:r>
        <w:instrText xml:space="preserve"> HYPERLINK \l _Toc31048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30"/>
          <w:vertAlign w:val="baseline"/>
        </w:rPr>
        <w:t xml:space="preserve">2.3. </w:t>
      </w:r>
      <w:r>
        <w:rPr>
          <w:rFonts w:hint="eastAsia"/>
        </w:rPr>
        <w:t>申报采购计划</w:t>
      </w:r>
      <w:r>
        <w:tab/>
      </w:r>
      <w:r>
        <w:fldChar w:fldCharType="begin"/>
      </w:r>
      <w:r>
        <w:instrText xml:space="preserve"> PAGEREF _Toc31048 \h </w:instrText>
      </w:r>
      <w:r>
        <w:fldChar w:fldCharType="separate"/>
      </w:r>
      <w:r>
        <w:t>15</w:t>
      </w:r>
      <w:r>
        <w:fldChar w:fldCharType="end"/>
      </w:r>
      <w:r>
        <w:fldChar w:fldCharType="end"/>
      </w:r>
    </w:p>
    <w:p w14:paraId="7DC9A22A">
      <w:pPr>
        <w:pStyle w:val="25"/>
        <w:tabs>
          <w:tab w:val="right" w:leader="dot" w:pos="9026"/>
          <w:tab w:val="clear" w:pos="1260"/>
          <w:tab w:val="clear" w:pos="8302"/>
        </w:tabs>
      </w:pPr>
      <w:r>
        <w:fldChar w:fldCharType="begin"/>
      </w:r>
      <w:r>
        <w:instrText xml:space="preserve"> HYPERLINK \l _Toc15794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30"/>
          <w:vertAlign w:val="baseline"/>
        </w:rPr>
        <w:t xml:space="preserve">2.4. </w:t>
      </w:r>
      <w:r>
        <w:rPr>
          <w:rFonts w:hint="eastAsia"/>
        </w:rPr>
        <w:t>挑选组织形式</w:t>
      </w:r>
      <w:r>
        <w:tab/>
      </w:r>
      <w:r>
        <w:fldChar w:fldCharType="begin"/>
      </w:r>
      <w:r>
        <w:instrText xml:space="preserve"> PAGEREF _Toc15794 \h </w:instrText>
      </w:r>
      <w:r>
        <w:fldChar w:fldCharType="separate"/>
      </w:r>
      <w:r>
        <w:t>18</w:t>
      </w:r>
      <w:r>
        <w:fldChar w:fldCharType="end"/>
      </w:r>
      <w:r>
        <w:fldChar w:fldCharType="end"/>
      </w:r>
    </w:p>
    <w:p w14:paraId="5B906DA7">
      <w:pPr>
        <w:pStyle w:val="25"/>
        <w:tabs>
          <w:tab w:val="right" w:leader="dot" w:pos="9026"/>
          <w:tab w:val="clear" w:pos="1260"/>
          <w:tab w:val="clear" w:pos="8302"/>
        </w:tabs>
      </w:pPr>
      <w:r>
        <w:fldChar w:fldCharType="begin"/>
      </w:r>
      <w:r>
        <w:instrText xml:space="preserve"> HYPERLINK \l _Toc28431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30"/>
          <w:vertAlign w:val="baseline"/>
        </w:rPr>
        <w:t xml:space="preserve">2.5. </w:t>
      </w:r>
      <w:r>
        <w:rPr>
          <w:rFonts w:hint="eastAsia"/>
        </w:rPr>
        <w:t>指定集采中心</w:t>
      </w:r>
      <w:r>
        <w:tab/>
      </w:r>
      <w:r>
        <w:fldChar w:fldCharType="begin"/>
      </w:r>
      <w:r>
        <w:instrText xml:space="preserve"> PAGEREF _Toc28431 \h </w:instrText>
      </w:r>
      <w:r>
        <w:fldChar w:fldCharType="separate"/>
      </w:r>
      <w:r>
        <w:t>19</w:t>
      </w:r>
      <w:r>
        <w:fldChar w:fldCharType="end"/>
      </w:r>
      <w:r>
        <w:fldChar w:fldCharType="end"/>
      </w:r>
    </w:p>
    <w:p w14:paraId="164B315C">
      <w:pPr>
        <w:pStyle w:val="25"/>
        <w:tabs>
          <w:tab w:val="right" w:leader="dot" w:pos="9026"/>
          <w:tab w:val="clear" w:pos="1260"/>
          <w:tab w:val="clear" w:pos="8302"/>
        </w:tabs>
      </w:pPr>
      <w:r>
        <w:fldChar w:fldCharType="begin"/>
      </w:r>
      <w:r>
        <w:instrText xml:space="preserve"> HYPERLINK \l _Toc12887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30"/>
          <w:vertAlign w:val="baseline"/>
        </w:rPr>
        <w:t xml:space="preserve">2.6. </w:t>
      </w:r>
      <w:r>
        <w:rPr>
          <w:rFonts w:ascii="宋体" w:hAnsi="宋体" w:cs="宋体"/>
          <w:kern w:val="0"/>
          <w:szCs w:val="30"/>
        </w:rPr>
        <w:t>选择采购机构和采购方式</w:t>
      </w:r>
      <w:r>
        <w:tab/>
      </w:r>
      <w:r>
        <w:fldChar w:fldCharType="begin"/>
      </w:r>
      <w:r>
        <w:instrText xml:space="preserve"> PAGEREF _Toc12887 \h </w:instrText>
      </w:r>
      <w:r>
        <w:fldChar w:fldCharType="separate"/>
      </w:r>
      <w:r>
        <w:t>20</w:t>
      </w:r>
      <w:r>
        <w:fldChar w:fldCharType="end"/>
      </w:r>
      <w:r>
        <w:fldChar w:fldCharType="end"/>
      </w:r>
    </w:p>
    <w:p w14:paraId="753A8716">
      <w:pPr>
        <w:pStyle w:val="25"/>
        <w:tabs>
          <w:tab w:val="right" w:leader="dot" w:pos="9026"/>
          <w:tab w:val="clear" w:pos="1260"/>
          <w:tab w:val="clear" w:pos="8302"/>
        </w:tabs>
      </w:pPr>
      <w:r>
        <w:fldChar w:fldCharType="begin"/>
      </w:r>
      <w:r>
        <w:instrText xml:space="preserve"> HYPERLINK \l _Toc10452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30"/>
          <w:vertAlign w:val="baseline"/>
        </w:rPr>
        <w:t xml:space="preserve">2.7. </w:t>
      </w:r>
      <w:r>
        <w:rPr>
          <w:rFonts w:ascii="宋体" w:hAnsi="宋体" w:cs="宋体"/>
          <w:kern w:val="0"/>
          <w:szCs w:val="30"/>
        </w:rPr>
        <w:t>指定社会代理</w:t>
      </w:r>
      <w:r>
        <w:tab/>
      </w:r>
      <w:r>
        <w:fldChar w:fldCharType="begin"/>
      </w:r>
      <w:r>
        <w:instrText xml:space="preserve"> PAGEREF _Toc10452 \h </w:instrText>
      </w:r>
      <w:r>
        <w:fldChar w:fldCharType="separate"/>
      </w:r>
      <w:r>
        <w:t>21</w:t>
      </w:r>
      <w:r>
        <w:fldChar w:fldCharType="end"/>
      </w:r>
      <w:r>
        <w:fldChar w:fldCharType="end"/>
      </w:r>
    </w:p>
    <w:p w14:paraId="09300F09">
      <w:pPr>
        <w:pStyle w:val="22"/>
        <w:tabs>
          <w:tab w:val="right" w:leader="dot" w:pos="9026"/>
        </w:tabs>
      </w:pPr>
      <w:r>
        <w:fldChar w:fldCharType="begin"/>
      </w:r>
      <w:r>
        <w:instrText xml:space="preserve"> HYPERLINK \l _Toc28945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0"/>
          <w:vertAlign w:val="baseline"/>
        </w:rPr>
        <w:t xml:space="preserve">3. </w:t>
      </w:r>
      <w:r>
        <w:rPr>
          <w:rFonts w:hint="eastAsia"/>
        </w:rPr>
        <w:t>委托采购</w:t>
      </w:r>
      <w:r>
        <w:tab/>
      </w:r>
      <w:r>
        <w:fldChar w:fldCharType="begin"/>
      </w:r>
      <w:r>
        <w:instrText xml:space="preserve"> PAGEREF _Toc28945 \h </w:instrText>
      </w:r>
      <w:r>
        <w:fldChar w:fldCharType="separate"/>
      </w:r>
      <w:r>
        <w:t>21</w:t>
      </w:r>
      <w:r>
        <w:fldChar w:fldCharType="end"/>
      </w:r>
      <w:r>
        <w:fldChar w:fldCharType="end"/>
      </w:r>
    </w:p>
    <w:p w14:paraId="43C08FC5">
      <w:pPr>
        <w:pStyle w:val="25"/>
        <w:tabs>
          <w:tab w:val="right" w:leader="dot" w:pos="9026"/>
          <w:tab w:val="clear" w:pos="1260"/>
          <w:tab w:val="clear" w:pos="8302"/>
        </w:tabs>
      </w:pPr>
      <w:r>
        <w:fldChar w:fldCharType="begin"/>
      </w:r>
      <w:r>
        <w:instrText xml:space="preserve"> HYPERLINK \l _Toc3881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30"/>
          <w:vertAlign w:val="baseline"/>
        </w:rPr>
        <w:t xml:space="preserve">3.1. </w:t>
      </w:r>
      <w:r>
        <w:rPr>
          <w:rFonts w:hint="eastAsia"/>
        </w:rPr>
        <w:t>委托采购相关资料审核</w:t>
      </w:r>
      <w:r>
        <w:tab/>
      </w:r>
      <w:r>
        <w:fldChar w:fldCharType="begin"/>
      </w:r>
      <w:r>
        <w:instrText xml:space="preserve"> PAGEREF _Toc3881 \h </w:instrText>
      </w:r>
      <w:r>
        <w:fldChar w:fldCharType="separate"/>
      </w:r>
      <w:r>
        <w:t>22</w:t>
      </w:r>
      <w:r>
        <w:fldChar w:fldCharType="end"/>
      </w:r>
      <w:r>
        <w:fldChar w:fldCharType="end"/>
      </w:r>
    </w:p>
    <w:p w14:paraId="096349D4">
      <w:pPr>
        <w:pStyle w:val="22"/>
        <w:tabs>
          <w:tab w:val="right" w:leader="dot" w:pos="9026"/>
        </w:tabs>
      </w:pPr>
      <w:r>
        <w:fldChar w:fldCharType="begin"/>
      </w:r>
      <w:r>
        <w:instrText xml:space="preserve"> HYPERLINK \l _Toc8869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0"/>
          <w:vertAlign w:val="baseline"/>
        </w:rPr>
        <w:t xml:space="preserve">4. </w:t>
      </w:r>
      <w:r>
        <w:rPr>
          <w:rFonts w:hint="eastAsia"/>
          <w:kern w:val="0"/>
        </w:rPr>
        <w:t>自行采购</w:t>
      </w:r>
      <w:r>
        <w:tab/>
      </w:r>
      <w:r>
        <w:fldChar w:fldCharType="begin"/>
      </w:r>
      <w:r>
        <w:instrText xml:space="preserve"> PAGEREF _Toc8869 \h </w:instrText>
      </w:r>
      <w:r>
        <w:fldChar w:fldCharType="separate"/>
      </w:r>
      <w:r>
        <w:t>22</w:t>
      </w:r>
      <w:r>
        <w:fldChar w:fldCharType="end"/>
      </w:r>
      <w:r>
        <w:fldChar w:fldCharType="end"/>
      </w:r>
    </w:p>
    <w:p w14:paraId="73F89873">
      <w:pPr>
        <w:pStyle w:val="25"/>
        <w:tabs>
          <w:tab w:val="right" w:leader="dot" w:pos="9026"/>
          <w:tab w:val="clear" w:pos="1260"/>
          <w:tab w:val="clear" w:pos="8302"/>
        </w:tabs>
      </w:pPr>
      <w:r>
        <w:fldChar w:fldCharType="begin"/>
      </w:r>
      <w:r>
        <w:instrText xml:space="preserve"> HYPERLINK \l _Toc26711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30"/>
          <w:vertAlign w:val="baseline"/>
        </w:rPr>
        <w:t xml:space="preserve">4.1. </w:t>
      </w:r>
      <w:r>
        <w:rPr>
          <w:rFonts w:hint="eastAsia"/>
        </w:rPr>
        <w:t>组建分包</w:t>
      </w:r>
      <w:r>
        <w:tab/>
      </w:r>
      <w:r>
        <w:fldChar w:fldCharType="begin"/>
      </w:r>
      <w:r>
        <w:instrText xml:space="preserve"> PAGEREF _Toc26711 \h </w:instrText>
      </w:r>
      <w:r>
        <w:fldChar w:fldCharType="separate"/>
      </w:r>
      <w:r>
        <w:t>22</w:t>
      </w:r>
      <w:r>
        <w:fldChar w:fldCharType="end"/>
      </w:r>
      <w:r>
        <w:fldChar w:fldCharType="end"/>
      </w:r>
    </w:p>
    <w:p w14:paraId="774D55EA">
      <w:pPr>
        <w:pStyle w:val="25"/>
        <w:tabs>
          <w:tab w:val="right" w:leader="dot" w:pos="9026"/>
          <w:tab w:val="clear" w:pos="1260"/>
          <w:tab w:val="clear" w:pos="8302"/>
        </w:tabs>
      </w:pPr>
      <w:r>
        <w:fldChar w:fldCharType="begin"/>
      </w:r>
      <w:r>
        <w:instrText xml:space="preserve"> HYPERLINK \l _Toc31360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30"/>
          <w:vertAlign w:val="baseline"/>
        </w:rPr>
        <w:t xml:space="preserve">4.2. </w:t>
      </w:r>
      <w:r>
        <w:rPr>
          <w:rFonts w:hint="eastAsia"/>
        </w:rPr>
        <w:t>预约场地</w:t>
      </w:r>
      <w:r>
        <w:tab/>
      </w:r>
      <w:r>
        <w:fldChar w:fldCharType="begin"/>
      </w:r>
      <w:r>
        <w:instrText xml:space="preserve"> PAGEREF _Toc31360 \h </w:instrText>
      </w:r>
      <w:r>
        <w:fldChar w:fldCharType="separate"/>
      </w:r>
      <w:r>
        <w:t>24</w:t>
      </w:r>
      <w:r>
        <w:fldChar w:fldCharType="end"/>
      </w:r>
      <w:r>
        <w:fldChar w:fldCharType="end"/>
      </w:r>
    </w:p>
    <w:p w14:paraId="1B80D452">
      <w:pPr>
        <w:pStyle w:val="25"/>
        <w:tabs>
          <w:tab w:val="right" w:leader="dot" w:pos="9026"/>
          <w:tab w:val="clear" w:pos="1260"/>
          <w:tab w:val="clear" w:pos="8302"/>
        </w:tabs>
      </w:pPr>
      <w:r>
        <w:fldChar w:fldCharType="begin"/>
      </w:r>
      <w:r>
        <w:instrText xml:space="preserve"> HYPERLINK \l _Toc12084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30"/>
          <w:vertAlign w:val="baseline"/>
        </w:rPr>
        <w:t xml:space="preserve">4.3. </w:t>
      </w:r>
      <w:r>
        <w:rPr>
          <w:rFonts w:hint="eastAsia"/>
        </w:rPr>
        <w:t>采购文件</w:t>
      </w:r>
      <w:r>
        <w:tab/>
      </w:r>
      <w:r>
        <w:fldChar w:fldCharType="begin"/>
      </w:r>
      <w:r>
        <w:instrText xml:space="preserve"> PAGEREF _Toc12084 \h </w:instrText>
      </w:r>
      <w:r>
        <w:fldChar w:fldCharType="separate"/>
      </w:r>
      <w:r>
        <w:t>26</w:t>
      </w:r>
      <w:r>
        <w:fldChar w:fldCharType="end"/>
      </w:r>
      <w:r>
        <w:fldChar w:fldCharType="end"/>
      </w:r>
    </w:p>
    <w:p w14:paraId="54090F4E">
      <w:pPr>
        <w:pStyle w:val="25"/>
        <w:tabs>
          <w:tab w:val="right" w:leader="dot" w:pos="9026"/>
          <w:tab w:val="clear" w:pos="1260"/>
          <w:tab w:val="clear" w:pos="8302"/>
        </w:tabs>
      </w:pPr>
      <w:r>
        <w:fldChar w:fldCharType="begin"/>
      </w:r>
      <w:r>
        <w:instrText xml:space="preserve"> HYPERLINK \l _Toc20670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30"/>
          <w:vertAlign w:val="baseline"/>
        </w:rPr>
        <w:t xml:space="preserve">4.4. </w:t>
      </w:r>
      <w:r>
        <w:rPr>
          <w:rFonts w:hint="eastAsia"/>
        </w:rPr>
        <w:t>采购公告</w:t>
      </w:r>
      <w:r>
        <w:tab/>
      </w:r>
      <w:r>
        <w:fldChar w:fldCharType="begin"/>
      </w:r>
      <w:r>
        <w:instrText xml:space="preserve"> PAGEREF _Toc20670 \h </w:instrText>
      </w:r>
      <w:r>
        <w:fldChar w:fldCharType="separate"/>
      </w:r>
      <w:r>
        <w:t>27</w:t>
      </w:r>
      <w:r>
        <w:fldChar w:fldCharType="end"/>
      </w:r>
      <w:r>
        <w:fldChar w:fldCharType="end"/>
      </w:r>
    </w:p>
    <w:p w14:paraId="62C02498">
      <w:pPr>
        <w:pStyle w:val="25"/>
        <w:tabs>
          <w:tab w:val="right" w:leader="dot" w:pos="9026"/>
          <w:tab w:val="clear" w:pos="1260"/>
          <w:tab w:val="clear" w:pos="8302"/>
        </w:tabs>
      </w:pPr>
      <w:r>
        <w:fldChar w:fldCharType="begin"/>
      </w:r>
      <w:r>
        <w:instrText xml:space="preserve"> HYPERLINK \l _Toc27043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30"/>
          <w:vertAlign w:val="baseline"/>
        </w:rPr>
        <w:t xml:space="preserve">4.5. </w:t>
      </w:r>
      <w:r>
        <w:t>打印专家抽取申请表</w:t>
      </w:r>
      <w:r>
        <w:tab/>
      </w:r>
      <w:r>
        <w:fldChar w:fldCharType="begin"/>
      </w:r>
      <w:r>
        <w:instrText xml:space="preserve"> PAGEREF _Toc27043 \h </w:instrText>
      </w:r>
      <w:r>
        <w:fldChar w:fldCharType="separate"/>
      </w:r>
      <w:r>
        <w:t>30</w:t>
      </w:r>
      <w:r>
        <w:fldChar w:fldCharType="end"/>
      </w:r>
      <w:r>
        <w:fldChar w:fldCharType="end"/>
      </w:r>
    </w:p>
    <w:p w14:paraId="2561DCF9">
      <w:pPr>
        <w:pStyle w:val="25"/>
        <w:tabs>
          <w:tab w:val="right" w:leader="dot" w:pos="9026"/>
          <w:tab w:val="clear" w:pos="1260"/>
          <w:tab w:val="clear" w:pos="8302"/>
        </w:tabs>
      </w:pPr>
      <w:r>
        <w:fldChar w:fldCharType="begin"/>
      </w:r>
      <w:r>
        <w:instrText xml:space="preserve"> HYPERLINK \l _Toc12570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30"/>
          <w:vertAlign w:val="baseline"/>
        </w:rPr>
        <w:t xml:space="preserve">4.6. </w:t>
      </w:r>
      <w:r>
        <w:rPr>
          <w:rFonts w:hint="eastAsia"/>
        </w:rPr>
        <w:t>保证金（保证金</w:t>
      </w:r>
      <w:r>
        <w:t>退款</w:t>
      </w:r>
      <w:r>
        <w:rPr>
          <w:rFonts w:hint="eastAsia"/>
        </w:rPr>
        <w:t>）</w:t>
      </w:r>
      <w:r>
        <w:tab/>
      </w:r>
      <w:r>
        <w:fldChar w:fldCharType="begin"/>
      </w:r>
      <w:r>
        <w:instrText xml:space="preserve"> PAGEREF _Toc12570 \h </w:instrText>
      </w:r>
      <w:r>
        <w:fldChar w:fldCharType="separate"/>
      </w:r>
      <w:r>
        <w:t>31</w:t>
      </w:r>
      <w:r>
        <w:fldChar w:fldCharType="end"/>
      </w:r>
      <w:r>
        <w:fldChar w:fldCharType="end"/>
      </w:r>
    </w:p>
    <w:p w14:paraId="1180C3A4">
      <w:pPr>
        <w:pStyle w:val="25"/>
        <w:tabs>
          <w:tab w:val="right" w:leader="dot" w:pos="9026"/>
          <w:tab w:val="clear" w:pos="1260"/>
          <w:tab w:val="clear" w:pos="8302"/>
        </w:tabs>
      </w:pPr>
      <w:r>
        <w:fldChar w:fldCharType="begin"/>
      </w:r>
      <w:r>
        <w:instrText xml:space="preserve"> HYPERLINK \l _Toc17456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30"/>
          <w:vertAlign w:val="baseline"/>
        </w:rPr>
        <w:t xml:space="preserve">4.7. </w:t>
      </w:r>
      <w:r>
        <w:rPr>
          <w:rFonts w:hint="eastAsia"/>
        </w:rPr>
        <w:t>结果公示</w:t>
      </w:r>
      <w:r>
        <w:tab/>
      </w:r>
      <w:r>
        <w:fldChar w:fldCharType="begin"/>
      </w:r>
      <w:r>
        <w:instrText xml:space="preserve"> PAGEREF _Toc17456 \h </w:instrText>
      </w:r>
      <w:r>
        <w:fldChar w:fldCharType="separate"/>
      </w:r>
      <w:r>
        <w:t>32</w:t>
      </w:r>
      <w:r>
        <w:fldChar w:fldCharType="end"/>
      </w:r>
      <w:r>
        <w:fldChar w:fldCharType="end"/>
      </w:r>
    </w:p>
    <w:p w14:paraId="098925BE">
      <w:pPr>
        <w:pStyle w:val="25"/>
        <w:tabs>
          <w:tab w:val="right" w:leader="dot" w:pos="9026"/>
          <w:tab w:val="clear" w:pos="1260"/>
          <w:tab w:val="clear" w:pos="8302"/>
        </w:tabs>
      </w:pPr>
      <w:r>
        <w:fldChar w:fldCharType="begin"/>
      </w:r>
      <w:r>
        <w:instrText xml:space="preserve"> HYPERLINK \l _Toc11950 </w:instrText>
      </w:r>
      <w:r>
        <w:fldChar w:fldCharType="separate"/>
      </w:r>
      <w:r>
        <w:rPr>
          <w:rFonts w:hint="eastAsia"/>
        </w:rPr>
        <w:t>4</w:t>
      </w:r>
      <w:r>
        <w:t>.9.</w:t>
      </w:r>
      <w:r>
        <w:rPr>
          <w:rFonts w:hint="eastAsia"/>
        </w:rPr>
        <w:t>标后</w:t>
      </w:r>
      <w:r>
        <w:t>相关数据</w:t>
      </w:r>
      <w:r>
        <w:tab/>
      </w:r>
      <w:r>
        <w:fldChar w:fldCharType="begin"/>
      </w:r>
      <w:r>
        <w:instrText xml:space="preserve"> PAGEREF _Toc11950 \h </w:instrText>
      </w:r>
      <w:r>
        <w:fldChar w:fldCharType="separate"/>
      </w:r>
      <w:r>
        <w:t>33</w:t>
      </w:r>
      <w:r>
        <w:fldChar w:fldCharType="end"/>
      </w:r>
      <w:r>
        <w:fldChar w:fldCharType="end"/>
      </w:r>
    </w:p>
    <w:p w14:paraId="1E88E866">
      <w:pPr>
        <w:pStyle w:val="22"/>
        <w:tabs>
          <w:tab w:val="right" w:leader="dot" w:pos="9026"/>
        </w:tabs>
      </w:pPr>
      <w:r>
        <w:fldChar w:fldCharType="begin"/>
      </w:r>
      <w:r>
        <w:instrText xml:space="preserve"> HYPERLINK \l _Toc9057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0"/>
          <w:vertAlign w:val="baseline"/>
        </w:rPr>
        <w:t xml:space="preserve">5. </w:t>
      </w:r>
      <w:r>
        <w:rPr>
          <w:rFonts w:hint="eastAsia"/>
          <w:kern w:val="0"/>
        </w:rPr>
        <w:t>协议采购</w:t>
      </w:r>
      <w:r>
        <w:tab/>
      </w:r>
      <w:r>
        <w:fldChar w:fldCharType="begin"/>
      </w:r>
      <w:r>
        <w:instrText xml:space="preserve"> PAGEREF _Toc9057 \h </w:instrText>
      </w:r>
      <w:r>
        <w:fldChar w:fldCharType="separate"/>
      </w:r>
      <w:r>
        <w:t>33</w:t>
      </w:r>
      <w:r>
        <w:fldChar w:fldCharType="end"/>
      </w:r>
      <w:r>
        <w:fldChar w:fldCharType="end"/>
      </w:r>
    </w:p>
    <w:p w14:paraId="37A59D59">
      <w:pPr>
        <w:pStyle w:val="25"/>
        <w:tabs>
          <w:tab w:val="right" w:leader="dot" w:pos="9026"/>
          <w:tab w:val="clear" w:pos="1260"/>
          <w:tab w:val="clear" w:pos="8302"/>
        </w:tabs>
      </w:pPr>
      <w:r>
        <w:fldChar w:fldCharType="begin"/>
      </w:r>
      <w:r>
        <w:instrText xml:space="preserve"> HYPERLINK \l _Toc2674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30"/>
          <w:vertAlign w:val="baseline"/>
        </w:rPr>
        <w:t xml:space="preserve">5.1. </w:t>
      </w:r>
      <w:r>
        <w:rPr>
          <w:rFonts w:hint="eastAsia"/>
        </w:rPr>
        <w:t>挑选协议商品</w:t>
      </w:r>
      <w:r>
        <w:tab/>
      </w:r>
      <w:r>
        <w:fldChar w:fldCharType="begin"/>
      </w:r>
      <w:r>
        <w:instrText xml:space="preserve"> PAGEREF _Toc2674 \h </w:instrText>
      </w:r>
      <w:r>
        <w:fldChar w:fldCharType="separate"/>
      </w:r>
      <w:r>
        <w:t>33</w:t>
      </w:r>
      <w:r>
        <w:fldChar w:fldCharType="end"/>
      </w:r>
      <w:r>
        <w:fldChar w:fldCharType="end"/>
      </w:r>
    </w:p>
    <w:p w14:paraId="750603B7">
      <w:pPr>
        <w:pStyle w:val="25"/>
        <w:tabs>
          <w:tab w:val="right" w:leader="dot" w:pos="9026"/>
          <w:tab w:val="clear" w:pos="1260"/>
          <w:tab w:val="clear" w:pos="8302"/>
        </w:tabs>
      </w:pPr>
      <w:r>
        <w:fldChar w:fldCharType="begin"/>
      </w:r>
      <w:r>
        <w:instrText xml:space="preserve"> HYPERLINK \l _Toc8369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30"/>
          <w:vertAlign w:val="baseline"/>
        </w:rPr>
        <w:t xml:space="preserve">5.2. </w:t>
      </w:r>
      <w:r>
        <w:rPr>
          <w:rFonts w:hint="eastAsia"/>
        </w:rPr>
        <w:t>指定协议中标单位</w:t>
      </w:r>
      <w:r>
        <w:tab/>
      </w:r>
      <w:r>
        <w:fldChar w:fldCharType="begin"/>
      </w:r>
      <w:r>
        <w:instrText xml:space="preserve"> PAGEREF _Toc8369 \h </w:instrText>
      </w:r>
      <w:r>
        <w:fldChar w:fldCharType="separate"/>
      </w:r>
      <w:r>
        <w:t>36</w:t>
      </w:r>
      <w:r>
        <w:fldChar w:fldCharType="end"/>
      </w:r>
      <w:r>
        <w:fldChar w:fldCharType="end"/>
      </w:r>
    </w:p>
    <w:p w14:paraId="1D2E6CF8">
      <w:pPr>
        <w:pStyle w:val="22"/>
        <w:tabs>
          <w:tab w:val="right" w:leader="dot" w:pos="9026"/>
        </w:tabs>
      </w:pPr>
      <w:r>
        <w:fldChar w:fldCharType="begin"/>
      </w:r>
      <w:r>
        <w:instrText xml:space="preserve"> HYPERLINK \l _Toc27343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0"/>
          <w:vertAlign w:val="baseline"/>
        </w:rPr>
        <w:t xml:space="preserve">6. </w:t>
      </w:r>
      <w:r>
        <w:rPr>
          <w:rFonts w:hint="eastAsia"/>
        </w:rPr>
        <w:t>合同备案及验收单备案</w:t>
      </w:r>
      <w:r>
        <w:tab/>
      </w:r>
      <w:r>
        <w:fldChar w:fldCharType="begin"/>
      </w:r>
      <w:r>
        <w:instrText xml:space="preserve"> PAGEREF _Toc27343 \h </w:instrText>
      </w:r>
      <w:r>
        <w:fldChar w:fldCharType="separate"/>
      </w:r>
      <w:r>
        <w:t>38</w:t>
      </w:r>
      <w:r>
        <w:fldChar w:fldCharType="end"/>
      </w:r>
      <w:r>
        <w:fldChar w:fldCharType="end"/>
      </w:r>
    </w:p>
    <w:p w14:paraId="7F55AF49">
      <w:pPr>
        <w:pStyle w:val="25"/>
        <w:tabs>
          <w:tab w:val="right" w:leader="dot" w:pos="9026"/>
          <w:tab w:val="clear" w:pos="1260"/>
          <w:tab w:val="clear" w:pos="8302"/>
        </w:tabs>
      </w:pPr>
      <w:r>
        <w:fldChar w:fldCharType="begin"/>
      </w:r>
      <w:r>
        <w:instrText xml:space="preserve"> HYPERLINK \l _Toc22613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30"/>
          <w:vertAlign w:val="baseline"/>
        </w:rPr>
        <w:t xml:space="preserve">6.1. </w:t>
      </w:r>
      <w:r>
        <w:rPr>
          <w:rFonts w:hint="eastAsia"/>
        </w:rPr>
        <w:t>采购合同备案</w:t>
      </w:r>
      <w:r>
        <w:tab/>
      </w:r>
      <w:r>
        <w:fldChar w:fldCharType="begin"/>
      </w:r>
      <w:r>
        <w:instrText xml:space="preserve"> PAGEREF _Toc22613 \h </w:instrText>
      </w:r>
      <w:r>
        <w:fldChar w:fldCharType="separate"/>
      </w:r>
      <w:r>
        <w:t>38</w:t>
      </w:r>
      <w:r>
        <w:fldChar w:fldCharType="end"/>
      </w:r>
      <w:r>
        <w:fldChar w:fldCharType="end"/>
      </w:r>
    </w:p>
    <w:p w14:paraId="6AD7D0CD">
      <w:pPr>
        <w:pStyle w:val="25"/>
        <w:tabs>
          <w:tab w:val="right" w:leader="dot" w:pos="9026"/>
          <w:tab w:val="clear" w:pos="1260"/>
          <w:tab w:val="clear" w:pos="8302"/>
        </w:tabs>
      </w:pPr>
      <w:r>
        <w:fldChar w:fldCharType="begin"/>
      </w:r>
      <w:r>
        <w:instrText xml:space="preserve"> HYPERLINK \l _Toc5325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30"/>
          <w:vertAlign w:val="baseline"/>
        </w:rPr>
        <w:t xml:space="preserve">6.2. </w:t>
      </w:r>
      <w:r>
        <w:rPr>
          <w:rFonts w:hint="eastAsia"/>
        </w:rPr>
        <w:t>签订协议采购合同</w:t>
      </w:r>
      <w:r>
        <w:tab/>
      </w:r>
      <w:r>
        <w:fldChar w:fldCharType="begin"/>
      </w:r>
      <w:r>
        <w:instrText xml:space="preserve"> PAGEREF _Toc5325 \h </w:instrText>
      </w:r>
      <w:r>
        <w:fldChar w:fldCharType="separate"/>
      </w:r>
      <w:r>
        <w:t>39</w:t>
      </w:r>
      <w:r>
        <w:fldChar w:fldCharType="end"/>
      </w:r>
      <w:r>
        <w:fldChar w:fldCharType="end"/>
      </w:r>
    </w:p>
    <w:p w14:paraId="54CF55C8">
      <w:pPr>
        <w:pStyle w:val="25"/>
        <w:tabs>
          <w:tab w:val="right" w:leader="dot" w:pos="9026"/>
          <w:tab w:val="clear" w:pos="1260"/>
          <w:tab w:val="clear" w:pos="8302"/>
        </w:tabs>
      </w:pPr>
      <w:r>
        <w:fldChar w:fldCharType="begin"/>
      </w:r>
      <w:r>
        <w:instrText xml:space="preserve"> HYPERLINK \l _Toc22077 </w:instrText>
      </w:r>
      <w:r>
        <w:fldChar w:fldCharType="separate"/>
      </w:r>
      <w:r>
        <w:rPr>
          <w:rFonts w:ascii="Times New Roman" w:hAnsi="Times New Roman" w:cs="Times New Roman"/>
          <w:bCs w:val="0"/>
          <w:i w:val="0"/>
          <w:iCs w:val="0"/>
          <w:caps w:val="0"/>
          <w:smallCaps w:val="0"/>
          <w:strike w:val="0"/>
          <w:dstrike w:val="0"/>
          <w:outline w:val="0"/>
          <w:shadow w:val="0"/>
          <w:emboss w:val="0"/>
          <w:imprint w:val="0"/>
          <w:snapToGrid w:val="0"/>
          <w:vanish w:val="0"/>
          <w:spacing w:val="0"/>
          <w:w w:val="0"/>
          <w:kern w:val="0"/>
          <w:position w:val="0"/>
          <w:szCs w:val="30"/>
          <w:vertAlign w:val="baseline"/>
        </w:rPr>
        <w:t xml:space="preserve">6.3. </w:t>
      </w:r>
      <w:r>
        <w:rPr>
          <w:rFonts w:hint="eastAsia"/>
        </w:rPr>
        <w:t>验收单</w:t>
      </w:r>
      <w:r>
        <w:tab/>
      </w:r>
      <w:r>
        <w:fldChar w:fldCharType="begin"/>
      </w:r>
      <w:r>
        <w:instrText xml:space="preserve"> PAGEREF _Toc22077 \h </w:instrText>
      </w:r>
      <w:r>
        <w:fldChar w:fldCharType="separate"/>
      </w:r>
      <w:r>
        <w:t>39</w:t>
      </w:r>
      <w:r>
        <w:fldChar w:fldCharType="end"/>
      </w:r>
      <w:r>
        <w:fldChar w:fldCharType="end"/>
      </w:r>
    </w:p>
    <w:p w14:paraId="0B2D456D">
      <w:r>
        <w:fldChar w:fldCharType="end"/>
      </w:r>
    </w:p>
    <w:p w14:paraId="5F04E8F6"/>
    <w:p w14:paraId="34897633"/>
    <w:p w14:paraId="2D189161"/>
    <w:p w14:paraId="7809664B"/>
    <w:p w14:paraId="70D5B434"/>
    <w:p w14:paraId="0C81AF78"/>
    <w:p w14:paraId="5BDDFCC3"/>
    <w:p w14:paraId="767A7C71"/>
    <w:p w14:paraId="0FE079DE"/>
    <w:p w14:paraId="29700CA3"/>
    <w:p w14:paraId="79BD5B53"/>
    <w:p w14:paraId="59F81B05"/>
    <w:p w14:paraId="6FE407FF"/>
    <w:p w14:paraId="02ACFED1"/>
    <w:p w14:paraId="074B3BAE"/>
    <w:p w14:paraId="5D17B3AB"/>
    <w:p w14:paraId="61537A06"/>
    <w:p w14:paraId="4B8DDCD0"/>
    <w:p w14:paraId="0748D0CF"/>
    <w:p w14:paraId="6F273105"/>
    <w:p w14:paraId="442ADA4E"/>
    <w:p w14:paraId="7CDD05A7"/>
    <w:p w14:paraId="5A583FC1"/>
    <w:p w14:paraId="074ECBCD"/>
    <w:p w14:paraId="26A948FA">
      <w:pPr>
        <w:pStyle w:val="2"/>
      </w:pPr>
      <w:bookmarkStart w:id="0" w:name="_Toc15060"/>
      <w:r>
        <w:rPr>
          <w:rFonts w:hint="eastAsia"/>
        </w:rPr>
        <w:t>系统大致介绍</w:t>
      </w:r>
      <w:bookmarkEnd w:id="0"/>
    </w:p>
    <w:p w14:paraId="7B17DD97">
      <w:pPr>
        <w:pStyle w:val="3"/>
      </w:pPr>
      <w:bookmarkStart w:id="1" w:name="_Toc21931"/>
      <w:r>
        <w:rPr>
          <w:rFonts w:hint="eastAsia"/>
        </w:rPr>
        <w:t>门户网站简介</w:t>
      </w:r>
      <w:bookmarkEnd w:id="1"/>
    </w:p>
    <w:p w14:paraId="7E67FDB7">
      <w:r>
        <w:rPr>
          <w:rFonts w:hint="eastAsia"/>
        </w:rPr>
        <w:t>作为采购单位（采购人），需登录“江西省公共资源交易网”上，办理并完成网上政府采购相关业务程序。</w:t>
      </w:r>
    </w:p>
    <w:p w14:paraId="1FE4358F">
      <w:pPr>
        <w:rPr>
          <w:b/>
        </w:rPr>
      </w:pPr>
      <w:r>
        <w:rPr>
          <w:rFonts w:hint="eastAsia"/>
          <w:b/>
        </w:rPr>
        <w:t>新平台网址：</w:t>
      </w:r>
      <w:r>
        <w:rPr>
          <w:b/>
        </w:rPr>
        <w:t>http:/</w:t>
      </w:r>
      <w:r>
        <w:rPr>
          <w:rFonts w:hint="eastAsia"/>
          <w:b/>
        </w:rPr>
        <w:t>www.jxsggzy.cn/web/</w:t>
      </w:r>
    </w:p>
    <w:p w14:paraId="3BEB2AD8">
      <w:pPr>
        <w:rPr>
          <w:b/>
          <w:color w:val="FF0000"/>
        </w:rPr>
      </w:pPr>
    </w:p>
    <w:p w14:paraId="29B9626C">
      <w:pPr>
        <w:rPr>
          <w:b/>
          <w:color w:val="FF0000"/>
        </w:rPr>
      </w:pPr>
      <w:r>
        <w:rPr>
          <w:rFonts w:hint="eastAsia"/>
          <w:b/>
          <w:color w:val="FF0000"/>
        </w:rPr>
        <w:t>注：原来在老的平台网站上未走完的项目请继续在老网站上走完，如需要办理新的政府采购相关业务程序请统一在江西省公共资源交易新平台上办理！！！</w:t>
      </w:r>
    </w:p>
    <w:p w14:paraId="196ED722">
      <w:pPr>
        <w:rPr>
          <w:b/>
          <w:color w:val="FF0000"/>
        </w:rPr>
      </w:pPr>
    </w:p>
    <w:p w14:paraId="66A2F856">
      <w:pPr>
        <w:rPr>
          <w:b/>
          <w:color w:val="FF0000"/>
        </w:rPr>
      </w:pPr>
      <w:r>
        <w:rPr>
          <w:rFonts w:hint="eastAsia"/>
          <w:b/>
          <w:color w:val="FF0000"/>
        </w:rPr>
        <w:t>1、操作系统要求：Windows Win7 /Win8/ Win10下均可运行，建议使用Win7 版本。</w:t>
      </w:r>
    </w:p>
    <w:p w14:paraId="093E0C17">
      <w:pPr>
        <w:rPr>
          <w:b/>
          <w:color w:val="FF0000"/>
        </w:rPr>
      </w:pPr>
      <w:r>
        <w:rPr>
          <w:rFonts w:hint="eastAsia"/>
          <w:b/>
          <w:color w:val="FF0000"/>
        </w:rPr>
        <w:t>2、浏览器要求：必须使用IE浏览器,IE版本是IE9以上</w:t>
      </w:r>
    </w:p>
    <w:p w14:paraId="4EBACEC7">
      <w:pPr>
        <w:rPr>
          <w:b/>
          <w:color w:val="FF0000"/>
        </w:rPr>
      </w:pPr>
      <w:r>
        <w:rPr>
          <w:rFonts w:hint="eastAsia"/>
          <w:b/>
          <w:color w:val="FF0000"/>
        </w:rPr>
        <w:t>3、辅助软件要求：必须安装 微软Office，且必须是完整版office2007或以上版本都可以，建议使用office2010。</w:t>
      </w:r>
    </w:p>
    <w:p w14:paraId="21F24F2E">
      <w:r>
        <w:rPr>
          <w:rFonts w:hint="eastAsia"/>
          <w:b/>
          <w:color w:val="FF0000"/>
        </w:rPr>
        <w:t>4、配置好浏览器兼容性视图、添加可信任站点等操作。</w:t>
      </w:r>
    </w:p>
    <w:p w14:paraId="0B4977E4">
      <w:r>
        <w:rPr>
          <w:rFonts w:hint="eastAsia"/>
        </w:rPr>
        <w:t>门户网站界面效果展示如下图所示：</w:t>
      </w:r>
    </w:p>
    <w:p w14:paraId="31A7DE72">
      <w:pPr>
        <w:jc w:val="center"/>
      </w:pPr>
      <w:r>
        <w:drawing>
          <wp:inline distT="0" distB="0" distL="114300" distR="114300">
            <wp:extent cx="5730875" cy="3125470"/>
            <wp:effectExtent l="0" t="0" r="3175" b="1778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9"/>
                    <a:stretch>
                      <a:fillRect/>
                    </a:stretch>
                  </pic:blipFill>
                  <pic:spPr>
                    <a:xfrm>
                      <a:off x="0" y="0"/>
                      <a:ext cx="5730875" cy="3125470"/>
                    </a:xfrm>
                    <a:prstGeom prst="rect">
                      <a:avLst/>
                    </a:prstGeom>
                    <a:noFill/>
                    <a:ln w="9525">
                      <a:noFill/>
                    </a:ln>
                  </pic:spPr>
                </pic:pic>
              </a:graphicData>
            </a:graphic>
          </wp:inline>
        </w:drawing>
      </w:r>
    </w:p>
    <w:p w14:paraId="6B68EA32">
      <w:r>
        <w:rPr>
          <w:rFonts w:hint="eastAsia"/>
        </w:rPr>
        <w:t>箭头所指方向为交易主体（</w:t>
      </w:r>
      <w:r>
        <w:rPr>
          <w:rFonts w:hint="eastAsia"/>
          <w:b/>
        </w:rPr>
        <w:t>采购单位</w:t>
      </w:r>
      <w:r>
        <w:rPr>
          <w:rFonts w:hint="eastAsia"/>
        </w:rPr>
        <w:t>、采购代理、供应商等交易主体）统一登录窗口。</w:t>
      </w:r>
    </w:p>
    <w:p w14:paraId="7401B871">
      <w:pPr>
        <w:pStyle w:val="3"/>
      </w:pPr>
      <w:bookmarkStart w:id="2" w:name="_Toc32447"/>
      <w:r>
        <w:t>用户登录</w:t>
      </w:r>
      <w:bookmarkEnd w:id="2"/>
    </w:p>
    <w:p w14:paraId="13DF34CD">
      <w:r>
        <w:rPr>
          <w:rFonts w:hint="eastAsia"/>
        </w:rPr>
        <w:t>点击“交易主体登陆”后，进入登录界面，界面效果展示如下图所示：</w:t>
      </w:r>
    </w:p>
    <w:p w14:paraId="0B4D3A27">
      <w:pPr>
        <w:jc w:val="center"/>
      </w:pPr>
      <w:r>
        <w:drawing>
          <wp:inline distT="0" distB="0" distL="0" distR="0">
            <wp:extent cx="5486400" cy="3429000"/>
            <wp:effectExtent l="0" t="0" r="0" b="0"/>
            <wp:docPr id="230" name="图片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图片 230"/>
                    <pic:cNvPicPr>
                      <a:picLocks noChangeAspect="1"/>
                    </pic:cNvPicPr>
                  </pic:nvPicPr>
                  <pic:blipFill>
                    <a:blip r:embed="rId10"/>
                    <a:stretch>
                      <a:fillRect/>
                    </a:stretch>
                  </pic:blipFill>
                  <pic:spPr>
                    <a:xfrm>
                      <a:off x="0" y="0"/>
                      <a:ext cx="5486400" cy="3429000"/>
                    </a:xfrm>
                    <a:prstGeom prst="rect">
                      <a:avLst/>
                    </a:prstGeom>
                  </pic:spPr>
                </pic:pic>
              </a:graphicData>
            </a:graphic>
          </wp:inline>
        </w:drawing>
      </w:r>
    </w:p>
    <w:p w14:paraId="210F5E57">
      <w:pPr>
        <w:rPr>
          <w:b/>
          <w:color w:val="FF0000"/>
        </w:rPr>
      </w:pPr>
      <w:r>
        <w:rPr>
          <w:b/>
          <w:color w:val="FF0000"/>
        </w:rPr>
        <w:t>注</w:t>
      </w:r>
      <w:r>
        <w:rPr>
          <w:rFonts w:hint="eastAsia"/>
          <w:b/>
          <w:color w:val="FF0000"/>
        </w:rPr>
        <w:t>：1、界面下方有系统驱动包下载链接及相关安装操作说明手册。在登录系统前，请确保系统驱动环境、浏览器配置正常！！！</w:t>
      </w:r>
    </w:p>
    <w:p w14:paraId="1EB6075A">
      <w:pPr>
        <w:rPr>
          <w:b/>
          <w:color w:val="FF0000"/>
        </w:rPr>
      </w:pPr>
      <w:r>
        <w:rPr>
          <w:rFonts w:hint="eastAsia"/>
          <w:b/>
          <w:color w:val="FF0000"/>
        </w:rPr>
        <w:t>2、登录时请选择登录方式：用户名登录和证书Key登录；</w:t>
      </w:r>
    </w:p>
    <w:p w14:paraId="6D2E2535">
      <w:pPr>
        <w:rPr>
          <w:b/>
          <w:color w:val="FF0000"/>
        </w:rPr>
      </w:pPr>
      <w:r>
        <w:rPr>
          <w:rFonts w:hint="eastAsia"/>
          <w:b/>
          <w:color w:val="FF0000"/>
        </w:rPr>
        <w:t>3、各单位的账号已同步到新平台中，故在老平台中使用用户名登录方式的请继续使用用户名登录的方式登录本系统。在老平台中使用证书Key登录的请继续使用证书Key登录的方式登录本系统。</w:t>
      </w:r>
    </w:p>
    <w:p w14:paraId="2BBAEA22">
      <w:r>
        <w:rPr>
          <w:rFonts w:hint="eastAsia"/>
        </w:rPr>
        <w:t>点击登录按钮之后，需要选择用户的身份类型，界面效果展示如下图所示：</w:t>
      </w:r>
    </w:p>
    <w:p w14:paraId="5B764635">
      <w:pPr>
        <w:jc w:val="center"/>
      </w:pPr>
      <w:r>
        <w:drawing>
          <wp:inline distT="0" distB="0" distL="0" distR="0">
            <wp:extent cx="3295015" cy="2132965"/>
            <wp:effectExtent l="0" t="0" r="635" b="635"/>
            <wp:docPr id="231" name="图片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图片 231"/>
                    <pic:cNvPicPr>
                      <a:picLocks noChangeAspect="1"/>
                    </pic:cNvPicPr>
                  </pic:nvPicPr>
                  <pic:blipFill>
                    <a:blip r:embed="rId11"/>
                    <a:stretch>
                      <a:fillRect/>
                    </a:stretch>
                  </pic:blipFill>
                  <pic:spPr>
                    <a:xfrm>
                      <a:off x="0" y="0"/>
                      <a:ext cx="3295238" cy="2133333"/>
                    </a:xfrm>
                    <a:prstGeom prst="rect">
                      <a:avLst/>
                    </a:prstGeom>
                  </pic:spPr>
                </pic:pic>
              </a:graphicData>
            </a:graphic>
          </wp:inline>
        </w:drawing>
      </w:r>
    </w:p>
    <w:p w14:paraId="77D143C2">
      <w:r>
        <w:rPr>
          <w:rFonts w:hint="eastAsia"/>
        </w:rPr>
        <w:t>注：如果为初次登录系统的单位，系统会给出相应提示，如下图所示：</w:t>
      </w:r>
    </w:p>
    <w:p w14:paraId="00C9C5C7">
      <w:pPr>
        <w:jc w:val="center"/>
      </w:pPr>
      <w:r>
        <w:drawing>
          <wp:inline distT="0" distB="0" distL="0" distR="0">
            <wp:extent cx="4762500" cy="2109470"/>
            <wp:effectExtent l="0" t="0" r="0" b="0"/>
            <wp:docPr id="243" name="图片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 name="图片 243"/>
                    <pic:cNvPicPr>
                      <a:picLocks noChangeAspect="1"/>
                    </pic:cNvPicPr>
                  </pic:nvPicPr>
                  <pic:blipFill>
                    <a:blip r:embed="rId12"/>
                    <a:stretch>
                      <a:fillRect/>
                    </a:stretch>
                  </pic:blipFill>
                  <pic:spPr>
                    <a:xfrm>
                      <a:off x="0" y="0"/>
                      <a:ext cx="4761905" cy="2109594"/>
                    </a:xfrm>
                    <a:prstGeom prst="rect">
                      <a:avLst/>
                    </a:prstGeom>
                  </pic:spPr>
                </pic:pic>
              </a:graphicData>
            </a:graphic>
          </wp:inline>
        </w:drawing>
      </w:r>
    </w:p>
    <w:p w14:paraId="63C09644">
      <w:pPr>
        <w:rPr>
          <w:b/>
          <w:color w:val="FF0000"/>
        </w:rPr>
      </w:pPr>
      <w:r>
        <w:rPr>
          <w:rFonts w:hint="eastAsia"/>
          <w:b/>
          <w:color w:val="FF0000"/>
        </w:rPr>
        <w:t>单位需修改并完善用户库基本信息并且审核通过之后，才可以进行采购业务操作。</w:t>
      </w:r>
    </w:p>
    <w:p w14:paraId="2BC3959F">
      <w:pPr>
        <w:rPr>
          <w:b/>
          <w:color w:val="FF0000"/>
        </w:rPr>
      </w:pPr>
    </w:p>
    <w:p w14:paraId="0387A529">
      <w:pPr>
        <w:rPr>
          <w:b/>
          <w:color w:val="FF0000"/>
        </w:rPr>
      </w:pPr>
      <w:r>
        <w:drawing>
          <wp:anchor distT="0" distB="0" distL="114300" distR="114300" simplePos="0" relativeHeight="251659264" behindDoc="0" locked="0" layoutInCell="1" allowOverlap="1">
            <wp:simplePos x="0" y="0"/>
            <wp:positionH relativeFrom="column">
              <wp:posOffset>111760</wp:posOffset>
            </wp:positionH>
            <wp:positionV relativeFrom="paragraph">
              <wp:posOffset>283845</wp:posOffset>
            </wp:positionV>
            <wp:extent cx="5486400" cy="2766695"/>
            <wp:effectExtent l="0" t="0" r="0" b="0"/>
            <wp:wrapSquare wrapText="bothSides"/>
            <wp:docPr id="245" name="图片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 name="图片 245"/>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5486400" cy="2766695"/>
                    </a:xfrm>
                    <a:prstGeom prst="rect">
                      <a:avLst/>
                    </a:prstGeom>
                  </pic:spPr>
                </pic:pic>
              </a:graphicData>
            </a:graphic>
          </wp:anchor>
        </w:drawing>
      </w:r>
      <w:r>
        <w:rPr>
          <w:rFonts w:hint="eastAsia"/>
          <w:b/>
          <w:color w:val="FF0000"/>
        </w:rPr>
        <w:t>并且初次登录的单位，因默认密码为111111，故需要进行修改默认密码，操作如下：</w:t>
      </w:r>
    </w:p>
    <w:p w14:paraId="72E3EAE8">
      <w:pPr>
        <w:jc w:val="left"/>
        <w:rPr>
          <w:b/>
          <w:color w:val="FF0000"/>
        </w:rPr>
      </w:pPr>
      <w:r>
        <w:rPr>
          <w:b/>
          <w:color w:val="FF0000"/>
        </w:rPr>
        <w:br w:type="textWrapping" w:clear="all"/>
      </w:r>
    </w:p>
    <w:p w14:paraId="6B24391D">
      <w:pPr>
        <w:jc w:val="left"/>
        <w:rPr>
          <w:b/>
          <w:color w:val="000000" w:themeColor="text1"/>
          <w:shd w:val="pct10" w:color="auto" w:fill="FFFFFF"/>
        </w:rPr>
      </w:pPr>
    </w:p>
    <w:p w14:paraId="417F613E">
      <w:pPr>
        <w:jc w:val="left"/>
        <w:rPr>
          <w:b/>
          <w:color w:val="000000" w:themeColor="text1"/>
        </w:rPr>
      </w:pPr>
      <w:r>
        <w:rPr>
          <w:rFonts w:hint="eastAsia"/>
          <w:b/>
          <w:color w:val="000000" w:themeColor="text1"/>
        </w:rPr>
        <w:t>P</w:t>
      </w:r>
      <w:r>
        <w:rPr>
          <w:b/>
          <w:color w:val="000000" w:themeColor="text1"/>
        </w:rPr>
        <w:t>S:</w:t>
      </w:r>
      <w:r>
        <w:rPr>
          <w:rFonts w:hint="eastAsia"/>
          <w:b/>
          <w:color w:val="000000" w:themeColor="text1"/>
        </w:rPr>
        <w:t>单位</w:t>
      </w:r>
      <w:r>
        <w:rPr>
          <w:b/>
          <w:color w:val="000000" w:themeColor="text1"/>
        </w:rPr>
        <w:t>在</w:t>
      </w:r>
      <w:r>
        <w:rPr>
          <w:rFonts w:hint="eastAsia"/>
          <w:b/>
          <w:color w:val="000000" w:themeColor="text1"/>
        </w:rPr>
        <w:t>2016年12月</w:t>
      </w:r>
      <w:r>
        <w:rPr>
          <w:b/>
          <w:color w:val="000000" w:themeColor="text1"/>
        </w:rPr>
        <w:t>份</w:t>
      </w:r>
      <w:r>
        <w:rPr>
          <w:rFonts w:hint="eastAsia"/>
          <w:b/>
          <w:color w:val="000000" w:themeColor="text1"/>
        </w:rPr>
        <w:t>从</w:t>
      </w:r>
      <w:r>
        <w:rPr>
          <w:b/>
          <w:color w:val="000000" w:themeColor="text1"/>
        </w:rPr>
        <w:t>老系统导入</w:t>
      </w:r>
      <w:r>
        <w:rPr>
          <w:rFonts w:hint="eastAsia"/>
          <w:b/>
          <w:color w:val="000000" w:themeColor="text1"/>
        </w:rPr>
        <w:t>到</w:t>
      </w:r>
      <w:r>
        <w:rPr>
          <w:b/>
          <w:color w:val="000000" w:themeColor="text1"/>
        </w:rPr>
        <w:t>新系统过一次</w:t>
      </w:r>
      <w:r>
        <w:rPr>
          <w:rFonts w:hint="eastAsia"/>
          <w:b/>
          <w:color w:val="000000" w:themeColor="text1"/>
        </w:rPr>
        <w:t>单位</w:t>
      </w:r>
      <w:r>
        <w:rPr>
          <w:b/>
          <w:color w:val="000000" w:themeColor="text1"/>
        </w:rPr>
        <w:t>账号，</w:t>
      </w:r>
      <w:r>
        <w:rPr>
          <w:rFonts w:hint="eastAsia"/>
          <w:b/>
          <w:color w:val="000000" w:themeColor="text1"/>
        </w:rPr>
        <w:t>如是这个</w:t>
      </w:r>
      <w:r>
        <w:rPr>
          <w:b/>
          <w:color w:val="000000" w:themeColor="text1"/>
        </w:rPr>
        <w:t>时间之前在老系统上有的单位可继续用老系统中的账号和锁登录</w:t>
      </w:r>
      <w:r>
        <w:rPr>
          <w:rFonts w:hint="eastAsia"/>
          <w:b/>
          <w:color w:val="000000" w:themeColor="text1"/>
        </w:rPr>
        <w:t>；</w:t>
      </w:r>
      <w:r>
        <w:rPr>
          <w:b/>
          <w:color w:val="000000" w:themeColor="text1"/>
        </w:rPr>
        <w:t>否则</w:t>
      </w:r>
      <w:r>
        <w:rPr>
          <w:rFonts w:hint="eastAsia"/>
          <w:b/>
          <w:color w:val="000000" w:themeColor="text1"/>
        </w:rPr>
        <w:t>可在</w:t>
      </w:r>
      <w:r>
        <w:rPr>
          <w:b/>
          <w:color w:val="000000" w:themeColor="text1"/>
        </w:rPr>
        <w:t>登录端重新注册单位</w:t>
      </w:r>
      <w:r>
        <w:rPr>
          <w:rFonts w:hint="eastAsia"/>
          <w:b/>
          <w:color w:val="000000" w:themeColor="text1"/>
        </w:rPr>
        <w:t>。</w:t>
      </w:r>
    </w:p>
    <w:p w14:paraId="18698530">
      <w:pPr>
        <w:jc w:val="left"/>
        <w:rPr>
          <w:b/>
          <w:color w:val="FF0000"/>
        </w:rPr>
      </w:pPr>
      <w:r>
        <w:rPr>
          <w:rFonts w:hint="eastAsia"/>
          <w:b/>
          <w:color w:val="FF0000"/>
        </w:rPr>
        <w:t>采购单位会员端注册规则重要说明：</w:t>
      </w:r>
    </w:p>
    <w:p w14:paraId="1CAFA3F1">
      <w:pPr>
        <w:jc w:val="left"/>
        <w:rPr>
          <w:b/>
          <w:color w:val="FF0000"/>
        </w:rPr>
      </w:pPr>
      <w:r>
        <w:rPr>
          <w:b/>
          <w:color w:val="FF0000"/>
        </w:rPr>
        <w:t>    1</w:t>
      </w:r>
      <w:r>
        <w:rPr>
          <w:rFonts w:hint="eastAsia"/>
          <w:b/>
          <w:color w:val="FF0000"/>
        </w:rPr>
        <w:t>、若采购单位属于一级单位（也就是该单位既是主管单位也是下级预算单位），命名规则：主管单位注册单位，名称为“该单位名称全称”，选择“是否”主管单位，选择“是”；该单位如需去报计划使用预算，则需另行注册一个下级预算单位，名称为该单位全称加上“本级”二字，选择“是否”主管单位，选择“否”。</w:t>
      </w:r>
    </w:p>
    <w:p w14:paraId="75841F71">
      <w:pPr>
        <w:ind w:firstLine="285"/>
        <w:jc w:val="left"/>
        <w:rPr>
          <w:b/>
          <w:color w:val="FF0000"/>
        </w:rPr>
      </w:pPr>
      <w:r>
        <w:rPr>
          <w:b/>
          <w:color w:val="FF0000"/>
        </w:rPr>
        <w:t>2</w:t>
      </w:r>
      <w:r>
        <w:rPr>
          <w:rFonts w:hint="eastAsia"/>
          <w:b/>
          <w:color w:val="FF0000"/>
        </w:rPr>
        <w:t>、若采购单位属于二或更低级单位（也就是该单位不是主管单位，只是下级预算单位），命名规则：下级预算单位注册单位，名称为“该单位名称全称”，选择“是否”主管单位，选择“否”。    </w:t>
      </w:r>
    </w:p>
    <w:p w14:paraId="75948DD6">
      <w:pPr>
        <w:ind w:firstLine="285"/>
        <w:jc w:val="left"/>
        <w:rPr>
          <w:b/>
          <w:color w:val="FF0000"/>
        </w:rPr>
      </w:pPr>
      <w:r>
        <w:rPr>
          <w:rFonts w:hint="eastAsia"/>
          <w:b/>
          <w:color w:val="FF0000"/>
        </w:rPr>
        <w:t>注意</w:t>
      </w:r>
      <w:r>
        <w:rPr>
          <w:b/>
          <w:color w:val="FF0000"/>
        </w:rPr>
        <w:t>：</w:t>
      </w:r>
      <w:r>
        <w:rPr>
          <w:rFonts w:hint="eastAsia"/>
          <w:b/>
          <w:color w:val="FF0000"/>
        </w:rPr>
        <w:t>单位所在</w:t>
      </w:r>
      <w:r>
        <w:rPr>
          <w:b/>
          <w:color w:val="FF0000"/>
        </w:rPr>
        <w:t>监管部门</w:t>
      </w:r>
      <w:r>
        <w:rPr>
          <w:rFonts w:hint="eastAsia"/>
          <w:b/>
          <w:color w:val="FF0000"/>
        </w:rPr>
        <w:t>：是</w:t>
      </w:r>
      <w:r>
        <w:rPr>
          <w:b/>
          <w:color w:val="FF0000"/>
        </w:rPr>
        <w:t>指单位</w:t>
      </w:r>
      <w:r>
        <w:rPr>
          <w:rFonts w:hint="eastAsia"/>
          <w:b/>
          <w:color w:val="FF0000"/>
        </w:rPr>
        <w:t>所属辖区的</w:t>
      </w:r>
      <w:r>
        <w:rPr>
          <w:b/>
          <w:color w:val="FF0000"/>
        </w:rPr>
        <w:t>采购办</w:t>
      </w:r>
      <w:r>
        <w:rPr>
          <w:rFonts w:hint="eastAsia"/>
          <w:b/>
          <w:color w:val="FF0000"/>
        </w:rPr>
        <w:t>。（</w:t>
      </w:r>
      <w:r>
        <w:rPr>
          <w:b/>
          <w:color w:val="FF0000"/>
        </w:rPr>
        <w:t>如</w:t>
      </w:r>
      <w:r>
        <w:rPr>
          <w:rFonts w:hint="eastAsia"/>
          <w:b/>
          <w:color w:val="FF0000"/>
        </w:rPr>
        <w:t>单位</w:t>
      </w:r>
      <w:r>
        <w:rPr>
          <w:b/>
          <w:color w:val="FF0000"/>
        </w:rPr>
        <w:t>属于南昌市本级单位，选择为：</w:t>
      </w:r>
      <w:r>
        <w:rPr>
          <w:rFonts w:hint="eastAsia"/>
          <w:b/>
          <w:color w:val="FF0000"/>
        </w:rPr>
        <w:t>“南昌</w:t>
      </w:r>
      <w:r>
        <w:rPr>
          <w:b/>
          <w:color w:val="FF0000"/>
        </w:rPr>
        <w:t>市本级</w:t>
      </w:r>
      <w:r>
        <w:rPr>
          <w:rFonts w:hint="eastAsia"/>
          <w:b/>
          <w:color w:val="FF0000"/>
        </w:rPr>
        <w:t>”，</w:t>
      </w:r>
      <w:r>
        <w:rPr>
          <w:b/>
          <w:color w:val="FF0000"/>
        </w:rPr>
        <w:t>如果单位属于东湖区单位</w:t>
      </w:r>
      <w:r>
        <w:rPr>
          <w:rFonts w:hint="eastAsia"/>
          <w:b/>
          <w:color w:val="FF0000"/>
        </w:rPr>
        <w:t>，</w:t>
      </w:r>
      <w:r>
        <w:rPr>
          <w:b/>
          <w:color w:val="FF0000"/>
        </w:rPr>
        <w:t>则选择</w:t>
      </w:r>
      <w:r>
        <w:rPr>
          <w:rFonts w:hint="eastAsia"/>
          <w:b/>
          <w:color w:val="FF0000"/>
        </w:rPr>
        <w:t>为</w:t>
      </w:r>
      <w:r>
        <w:rPr>
          <w:b/>
          <w:color w:val="FF0000"/>
        </w:rPr>
        <w:t>：“</w:t>
      </w:r>
      <w:r>
        <w:rPr>
          <w:rFonts w:hint="eastAsia"/>
          <w:b/>
          <w:color w:val="FF0000"/>
        </w:rPr>
        <w:t>东湖区</w:t>
      </w:r>
      <w:r>
        <w:rPr>
          <w:b/>
          <w:color w:val="FF0000"/>
        </w:rPr>
        <w:t>”</w:t>
      </w:r>
      <w:r>
        <w:rPr>
          <w:rFonts w:hint="eastAsia"/>
          <w:b/>
          <w:color w:val="FF0000"/>
        </w:rPr>
        <w:t>）</w:t>
      </w:r>
    </w:p>
    <w:p w14:paraId="0BA23659">
      <w:pPr>
        <w:ind w:firstLine="285"/>
        <w:jc w:val="left"/>
        <w:rPr>
          <w:b/>
          <w:color w:val="FF0000"/>
        </w:rPr>
      </w:pPr>
      <w:r>
        <w:drawing>
          <wp:inline distT="0" distB="0" distL="0" distR="0">
            <wp:extent cx="5814060" cy="205105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4"/>
                    <a:stretch>
                      <a:fillRect/>
                    </a:stretch>
                  </pic:blipFill>
                  <pic:spPr>
                    <a:xfrm>
                      <a:off x="0" y="0"/>
                      <a:ext cx="5851302" cy="2064642"/>
                    </a:xfrm>
                    <a:prstGeom prst="rect">
                      <a:avLst/>
                    </a:prstGeom>
                  </pic:spPr>
                </pic:pic>
              </a:graphicData>
            </a:graphic>
          </wp:inline>
        </w:drawing>
      </w:r>
    </w:p>
    <w:p w14:paraId="76C2B5C0">
      <w:pPr>
        <w:ind w:firstLine="285"/>
        <w:jc w:val="left"/>
        <w:rPr>
          <w:b/>
          <w:color w:val="FF0000"/>
        </w:rPr>
      </w:pPr>
      <w:r>
        <w:rPr>
          <w:b/>
          <w:color w:val="FF0000"/>
        </w:rPr>
        <w:t>P</w:t>
      </w:r>
      <w:r>
        <w:rPr>
          <w:rFonts w:hint="eastAsia"/>
          <w:b/>
          <w:color w:val="FF0000"/>
        </w:rPr>
        <w:t>s</w:t>
      </w:r>
      <w:r>
        <w:rPr>
          <w:b/>
          <w:color w:val="FF0000"/>
        </w:rPr>
        <w:t>:</w:t>
      </w:r>
      <w:r>
        <w:rPr>
          <w:rFonts w:hint="eastAsia"/>
          <w:b/>
          <w:color w:val="FF0000"/>
        </w:rPr>
        <w:t xml:space="preserve"> “单位</w:t>
      </w:r>
      <w:r>
        <w:rPr>
          <w:b/>
          <w:color w:val="FF0000"/>
        </w:rPr>
        <w:t>所在</w:t>
      </w:r>
      <w:r>
        <w:rPr>
          <w:rFonts w:hint="eastAsia"/>
          <w:b/>
          <w:color w:val="FF0000"/>
        </w:rPr>
        <w:t>监管</w:t>
      </w:r>
      <w:r>
        <w:rPr>
          <w:b/>
          <w:color w:val="FF0000"/>
        </w:rPr>
        <w:t>部门</w:t>
      </w:r>
      <w:r>
        <w:rPr>
          <w:rFonts w:hint="eastAsia"/>
          <w:b/>
          <w:color w:val="FF0000"/>
        </w:rPr>
        <w:t>”</w:t>
      </w:r>
      <w:r>
        <w:rPr>
          <w:b/>
          <w:color w:val="FF0000"/>
        </w:rPr>
        <w:t>和</w:t>
      </w:r>
      <w:r>
        <w:rPr>
          <w:rFonts w:hint="eastAsia"/>
          <w:b/>
          <w:color w:val="FF0000"/>
        </w:rPr>
        <w:t>“</w:t>
      </w:r>
      <w:r>
        <w:rPr>
          <w:b/>
          <w:color w:val="FF0000"/>
        </w:rPr>
        <w:t>是否主管</w:t>
      </w:r>
      <w:r>
        <w:rPr>
          <w:rFonts w:hint="eastAsia"/>
          <w:b/>
          <w:color w:val="FF0000"/>
        </w:rPr>
        <w:t>预算</w:t>
      </w:r>
      <w:r>
        <w:rPr>
          <w:b/>
          <w:color w:val="FF0000"/>
        </w:rPr>
        <w:t>单位</w:t>
      </w:r>
      <w:r>
        <w:rPr>
          <w:rFonts w:hint="eastAsia"/>
          <w:b/>
          <w:color w:val="FF0000"/>
        </w:rPr>
        <w:t>”请</w:t>
      </w:r>
      <w:r>
        <w:rPr>
          <w:b/>
          <w:color w:val="FF0000"/>
        </w:rPr>
        <w:t>谨慎</w:t>
      </w:r>
      <w:r>
        <w:rPr>
          <w:rFonts w:hint="eastAsia"/>
          <w:b/>
          <w:color w:val="FF0000"/>
        </w:rPr>
        <w:t>选择</w:t>
      </w:r>
      <w:r>
        <w:rPr>
          <w:b/>
          <w:color w:val="FF0000"/>
        </w:rPr>
        <w:t>，</w:t>
      </w:r>
      <w:r>
        <w:rPr>
          <w:rFonts w:hint="eastAsia"/>
          <w:b/>
          <w:color w:val="FF0000"/>
        </w:rPr>
        <w:t>如需</w:t>
      </w:r>
      <w:r>
        <w:rPr>
          <w:b/>
          <w:color w:val="FF0000"/>
        </w:rPr>
        <w:t>修改，请先确保计划未做、设置主管</w:t>
      </w:r>
      <w:r>
        <w:rPr>
          <w:rFonts w:hint="eastAsia"/>
          <w:b/>
          <w:color w:val="FF0000"/>
        </w:rPr>
        <w:t>预算</w:t>
      </w:r>
      <w:r>
        <w:rPr>
          <w:b/>
          <w:color w:val="FF0000"/>
        </w:rPr>
        <w:t>单位</w:t>
      </w:r>
      <w:r>
        <w:rPr>
          <w:rFonts w:hint="eastAsia"/>
          <w:b/>
          <w:color w:val="FF0000"/>
        </w:rPr>
        <w:t>以及确认</w:t>
      </w:r>
      <w:r>
        <w:rPr>
          <w:b/>
          <w:color w:val="FF0000"/>
        </w:rPr>
        <w:t>隶属</w:t>
      </w:r>
      <w:r>
        <w:rPr>
          <w:rFonts w:hint="eastAsia"/>
          <w:b/>
          <w:color w:val="FF0000"/>
        </w:rPr>
        <w:t>关系未</w:t>
      </w:r>
      <w:r>
        <w:rPr>
          <w:b/>
          <w:color w:val="FF0000"/>
        </w:rPr>
        <w:t>设置</w:t>
      </w:r>
      <w:r>
        <w:rPr>
          <w:rFonts w:hint="eastAsia"/>
          <w:b/>
          <w:color w:val="FF0000"/>
        </w:rPr>
        <w:t>（或者联系</w:t>
      </w:r>
      <w:r>
        <w:rPr>
          <w:b/>
          <w:color w:val="FF0000"/>
        </w:rPr>
        <w:t>主管单位退回</w:t>
      </w:r>
      <w:r>
        <w:rPr>
          <w:rFonts w:hint="eastAsia"/>
          <w:b/>
          <w:color w:val="FF0000"/>
        </w:rPr>
        <w:t>这几项</w:t>
      </w:r>
      <w:r>
        <w:rPr>
          <w:b/>
          <w:color w:val="FF0000"/>
        </w:rPr>
        <w:t>才能操作</w:t>
      </w:r>
      <w:r>
        <w:rPr>
          <w:rFonts w:hint="eastAsia"/>
          <w:b/>
          <w:color w:val="FF0000"/>
        </w:rPr>
        <w:t>）；否则</w:t>
      </w:r>
      <w:r>
        <w:rPr>
          <w:b/>
          <w:color w:val="FF0000"/>
        </w:rPr>
        <w:t>不允许修改。</w:t>
      </w:r>
    </w:p>
    <w:p w14:paraId="39D0C01D">
      <w:pPr>
        <w:pStyle w:val="4"/>
      </w:pPr>
      <w:bookmarkStart w:id="3" w:name="_Toc29738"/>
      <w:r>
        <w:rPr>
          <w:rFonts w:hint="eastAsia"/>
        </w:rPr>
        <w:t>完善基本信息</w:t>
      </w:r>
      <w:bookmarkEnd w:id="3"/>
    </w:p>
    <w:p w14:paraId="28886BD2">
      <w:r>
        <w:rPr>
          <w:rFonts w:hint="eastAsia"/>
        </w:rPr>
        <w:t>采购单位在办理采购业务之前，用户库基本信息需要先完善并提交给采购办审核通过之后，才能看到采购业务管理模块，办理相关采购业务操作。</w:t>
      </w:r>
    </w:p>
    <w:p w14:paraId="51564317">
      <w:pPr>
        <w:rPr>
          <w:b/>
        </w:rPr>
      </w:pPr>
      <w:r>
        <w:rPr>
          <w:rFonts w:hint="eastAsia"/>
          <w:b/>
        </w:rPr>
        <w:t>操作描述：</w:t>
      </w:r>
    </w:p>
    <w:p w14:paraId="13705A2D">
      <w:r>
        <w:rPr>
          <w:rFonts w:hint="eastAsia"/>
        </w:rPr>
        <w:t>打开采购单位信息管理栏目下的“基本信息”菜单，点击左上角的修改信息按钮，可完善与查看单位的基本信息。</w:t>
      </w:r>
    </w:p>
    <w:p w14:paraId="423B7693">
      <w:pPr>
        <w:rPr>
          <w:rFonts w:hint="eastAsia"/>
        </w:rPr>
      </w:pPr>
      <w:r>
        <w:rPr>
          <w:rFonts w:hint="eastAsia"/>
        </w:rPr>
        <w:t>在基本信息中，“单位所在监管部门”和“是否主管预算单位”信息只能查看，不能修改。</w:t>
      </w:r>
    </w:p>
    <w:p w14:paraId="73F294C3">
      <w:pPr>
        <w:rPr>
          <w:rFonts w:hint="default" w:eastAsia="宋体"/>
          <w:b/>
          <w:bCs/>
          <w:color w:val="FF0000"/>
          <w:lang w:val="en-US" w:eastAsia="zh-CN"/>
        </w:rPr>
      </w:pPr>
      <w:r>
        <w:rPr>
          <w:rFonts w:hint="eastAsia"/>
          <w:b/>
          <w:bCs/>
          <w:color w:val="FF0000"/>
          <w:lang w:val="en-US" w:eastAsia="zh-CN"/>
        </w:rPr>
        <w:t>单位预算编码同一辖区内不能重复，通过当地采购办获取正确的一体化平台单位预算编码，切记不能填错，否则会影响后期业务流程。（仅限于采购预算单位，主管单位无所谓）</w:t>
      </w:r>
    </w:p>
    <w:p w14:paraId="710C7A2E">
      <w:r>
        <w:rPr>
          <w:rFonts w:hint="eastAsia"/>
        </w:rPr>
        <w:t>如果对基本信息存在疑问的，请联系当地采购办或者本公司客服（客服热线：4008503300）</w:t>
      </w:r>
    </w:p>
    <w:p w14:paraId="0B065CCE"/>
    <w:p w14:paraId="4DB962A6"/>
    <w:p w14:paraId="125C16BB"/>
    <w:p w14:paraId="412847DB">
      <w:r>
        <w:rPr>
          <w:rFonts w:hint="eastAsia"/>
        </w:rPr>
        <w:t>基本信息界面效果展示如下图所示：</w:t>
      </w:r>
    </w:p>
    <w:p w14:paraId="69CFB3C9">
      <w:pPr>
        <w:jc w:val="center"/>
      </w:pPr>
      <w:r>
        <w:drawing>
          <wp:inline distT="0" distB="0" distL="0" distR="0">
            <wp:extent cx="5447665" cy="2166620"/>
            <wp:effectExtent l="0" t="0" r="0" b="0"/>
            <wp:docPr id="249" name="图片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 name="图片 249"/>
                    <pic:cNvPicPr>
                      <a:picLocks noChangeAspect="1"/>
                    </pic:cNvPicPr>
                  </pic:nvPicPr>
                  <pic:blipFill>
                    <a:blip r:embed="rId15"/>
                    <a:stretch>
                      <a:fillRect/>
                    </a:stretch>
                  </pic:blipFill>
                  <pic:spPr>
                    <a:xfrm>
                      <a:off x="0" y="0"/>
                      <a:ext cx="5460864" cy="2172337"/>
                    </a:xfrm>
                    <a:prstGeom prst="rect">
                      <a:avLst/>
                    </a:prstGeom>
                  </pic:spPr>
                </pic:pic>
              </a:graphicData>
            </a:graphic>
          </wp:inline>
        </w:drawing>
      </w:r>
    </w:p>
    <w:p w14:paraId="0A9D7F7D">
      <w:pPr>
        <w:pStyle w:val="4"/>
      </w:pPr>
      <w:bookmarkStart w:id="4" w:name="_Toc27046"/>
      <w:r>
        <w:t>设置主管预算单位</w:t>
      </w:r>
      <w:bookmarkEnd w:id="4"/>
    </w:p>
    <w:p w14:paraId="75DD879A">
      <w:r>
        <w:rPr>
          <w:rFonts w:hint="eastAsia"/>
        </w:rPr>
        <w:t xml:space="preserve">根据江西省政府采购管理办法要求，各预算单位需在系统中先设置自己的主管预算单位。               </w:t>
      </w:r>
    </w:p>
    <w:p w14:paraId="7A8EDDC0">
      <w:r>
        <w:rPr>
          <w:rFonts w:hint="eastAsia"/>
        </w:rPr>
        <w:t>（如何查看本单位是否是主管预算单位，请在基本信息中查看）</w:t>
      </w:r>
    </w:p>
    <w:p w14:paraId="78220D3F">
      <w:r>
        <w:t>操作如下</w:t>
      </w:r>
      <w:r>
        <w:rPr>
          <w:rFonts w:hint="eastAsia"/>
        </w:rPr>
        <w:t xml:space="preserve">：      1、点击采购单位信息管理栏目下的“设置主管预算单位”菜单，如右图所示：       </w:t>
      </w:r>
      <w:r>
        <w:drawing>
          <wp:inline distT="0" distB="0" distL="0" distR="0">
            <wp:extent cx="1581150" cy="1036320"/>
            <wp:effectExtent l="0" t="0" r="0" b="0"/>
            <wp:docPr id="250" name="图片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图片 250"/>
                    <pic:cNvPicPr>
                      <a:picLocks noChangeAspect="1"/>
                    </pic:cNvPicPr>
                  </pic:nvPicPr>
                  <pic:blipFill>
                    <a:blip r:embed="rId16"/>
                    <a:stretch>
                      <a:fillRect/>
                    </a:stretch>
                  </pic:blipFill>
                  <pic:spPr>
                    <a:xfrm>
                      <a:off x="0" y="0"/>
                      <a:ext cx="1584055" cy="1038225"/>
                    </a:xfrm>
                    <a:prstGeom prst="rect">
                      <a:avLst/>
                    </a:prstGeom>
                  </pic:spPr>
                </pic:pic>
              </a:graphicData>
            </a:graphic>
          </wp:inline>
        </w:drawing>
      </w:r>
    </w:p>
    <w:p w14:paraId="743E43D5">
      <w:r>
        <w:rPr>
          <w:rFonts w:hint="eastAsia"/>
        </w:rPr>
        <w:t>2、先点击打开主管预算单位列表后，选择好本单位的主管预算单位之后，再点击左上角的提交按钮。即可完成设置主管预算单位的操作。</w:t>
      </w:r>
    </w:p>
    <w:p w14:paraId="776EE5B4">
      <w:pPr>
        <w:jc w:val="center"/>
      </w:pPr>
      <w:r>
        <w:drawing>
          <wp:inline distT="0" distB="0" distL="0" distR="0">
            <wp:extent cx="5257165" cy="2562860"/>
            <wp:effectExtent l="0" t="0" r="0" b="0"/>
            <wp:docPr id="252" name="图片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图片 252"/>
                    <pic:cNvPicPr>
                      <a:picLocks noChangeAspect="1"/>
                    </pic:cNvPicPr>
                  </pic:nvPicPr>
                  <pic:blipFill>
                    <a:blip r:embed="rId17"/>
                    <a:stretch>
                      <a:fillRect/>
                    </a:stretch>
                  </pic:blipFill>
                  <pic:spPr>
                    <a:xfrm>
                      <a:off x="0" y="0"/>
                      <a:ext cx="5279377" cy="2573696"/>
                    </a:xfrm>
                    <a:prstGeom prst="rect">
                      <a:avLst/>
                    </a:prstGeom>
                  </pic:spPr>
                </pic:pic>
              </a:graphicData>
            </a:graphic>
          </wp:inline>
        </w:drawing>
      </w:r>
    </w:p>
    <w:p w14:paraId="112F4EFD">
      <w:pPr>
        <w:rPr>
          <w:b/>
          <w:color w:val="FF0000"/>
        </w:rPr>
      </w:pPr>
      <w:r>
        <w:rPr>
          <w:rFonts w:hint="eastAsia"/>
          <w:b/>
          <w:color w:val="FF0000"/>
        </w:rPr>
        <w:t>注：如果把主管预算单位挑选错了的单位，请联系该主管预算单位退回，或者当地采购办退回后，可重新挑选！（未做</w:t>
      </w:r>
      <w:r>
        <w:rPr>
          <w:b/>
          <w:color w:val="FF0000"/>
        </w:rPr>
        <w:t>计划之前</w:t>
      </w:r>
      <w:r>
        <w:rPr>
          <w:rFonts w:hint="eastAsia"/>
          <w:b/>
          <w:color w:val="FF0000"/>
        </w:rPr>
        <w:t>方可</w:t>
      </w:r>
      <w:r>
        <w:rPr>
          <w:b/>
          <w:color w:val="FF0000"/>
        </w:rPr>
        <w:t>操作，否则</w:t>
      </w:r>
      <w:r>
        <w:rPr>
          <w:rFonts w:hint="eastAsia"/>
          <w:b/>
          <w:color w:val="FF0000"/>
        </w:rPr>
        <w:t>先</w:t>
      </w:r>
      <w:r>
        <w:rPr>
          <w:b/>
          <w:color w:val="FF0000"/>
        </w:rPr>
        <w:t>退回计划并删除</w:t>
      </w:r>
      <w:r>
        <w:rPr>
          <w:rFonts w:hint="eastAsia"/>
          <w:b/>
          <w:color w:val="FF0000"/>
        </w:rPr>
        <w:t>）</w:t>
      </w:r>
    </w:p>
    <w:p w14:paraId="6687AB77"/>
    <w:p w14:paraId="47348984"/>
    <w:p w14:paraId="67D4CA79"/>
    <w:p w14:paraId="062B926D"/>
    <w:p w14:paraId="237DC6B8"/>
    <w:p w14:paraId="14CEE961">
      <w:pPr>
        <w:pStyle w:val="4"/>
      </w:pPr>
      <w:bookmarkStart w:id="5" w:name="_Toc20712"/>
      <w:r>
        <w:rPr>
          <w:rFonts w:hint="eastAsia"/>
        </w:rPr>
        <w:t>确认隶属关系</w:t>
      </w:r>
      <w:bookmarkEnd w:id="5"/>
    </w:p>
    <w:p w14:paraId="277ED26F">
      <w:r>
        <w:rPr>
          <w:rFonts w:hint="eastAsia"/>
        </w:rPr>
        <w:t>作为主管预算单位，可以在该菜单中，与下级预算单位确认并建立隶属关系。如下图所示：</w:t>
      </w:r>
    </w:p>
    <w:p w14:paraId="2E73C0F1">
      <w:pPr>
        <w:jc w:val="center"/>
      </w:pPr>
      <w:r>
        <w:drawing>
          <wp:inline distT="0" distB="0" distL="0" distR="0">
            <wp:extent cx="1999615" cy="1713865"/>
            <wp:effectExtent l="0" t="0" r="635" b="635"/>
            <wp:docPr id="254" name="图片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图片 254"/>
                    <pic:cNvPicPr>
                      <a:picLocks noChangeAspect="1"/>
                    </pic:cNvPicPr>
                  </pic:nvPicPr>
                  <pic:blipFill>
                    <a:blip r:embed="rId18"/>
                    <a:stretch>
                      <a:fillRect/>
                    </a:stretch>
                  </pic:blipFill>
                  <pic:spPr>
                    <a:xfrm>
                      <a:off x="0" y="0"/>
                      <a:ext cx="2000000" cy="1714286"/>
                    </a:xfrm>
                    <a:prstGeom prst="rect">
                      <a:avLst/>
                    </a:prstGeom>
                  </pic:spPr>
                </pic:pic>
              </a:graphicData>
            </a:graphic>
          </wp:inline>
        </w:drawing>
      </w:r>
    </w:p>
    <w:p w14:paraId="6AFC1C67">
      <w:r>
        <w:rPr>
          <w:rFonts w:hint="eastAsia"/>
        </w:rPr>
        <w:t>主管预算单位可查看自己单位的下级预算单位列表，确认或者退回隶属关系的操作。如下图所示：</w:t>
      </w:r>
    </w:p>
    <w:p w14:paraId="056739F3">
      <w:r>
        <w:drawing>
          <wp:inline distT="0" distB="0" distL="0" distR="0">
            <wp:extent cx="4257675" cy="2257425"/>
            <wp:effectExtent l="0" t="0" r="0" b="0"/>
            <wp:docPr id="255" name="图片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5" name="图片 255"/>
                    <pic:cNvPicPr>
                      <a:picLocks noChangeAspect="1"/>
                    </pic:cNvPicPr>
                  </pic:nvPicPr>
                  <pic:blipFill>
                    <a:blip r:embed="rId19"/>
                    <a:stretch>
                      <a:fillRect/>
                    </a:stretch>
                  </pic:blipFill>
                  <pic:spPr>
                    <a:xfrm>
                      <a:off x="0" y="0"/>
                      <a:ext cx="4265449" cy="2261547"/>
                    </a:xfrm>
                    <a:prstGeom prst="rect">
                      <a:avLst/>
                    </a:prstGeom>
                  </pic:spPr>
                </pic:pic>
              </a:graphicData>
            </a:graphic>
          </wp:inline>
        </w:drawing>
      </w:r>
      <w:r>
        <w:t xml:space="preserve"> </w:t>
      </w:r>
      <w:r>
        <w:drawing>
          <wp:inline distT="0" distB="0" distL="0" distR="0">
            <wp:extent cx="4324350" cy="2257425"/>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20"/>
                    <a:stretch>
                      <a:fillRect/>
                    </a:stretch>
                  </pic:blipFill>
                  <pic:spPr>
                    <a:xfrm>
                      <a:off x="0" y="0"/>
                      <a:ext cx="4331280" cy="2261043"/>
                    </a:xfrm>
                    <a:prstGeom prst="rect">
                      <a:avLst/>
                    </a:prstGeom>
                  </pic:spPr>
                </pic:pic>
              </a:graphicData>
            </a:graphic>
          </wp:inline>
        </w:drawing>
      </w:r>
    </w:p>
    <w:p w14:paraId="44BE0FA5">
      <w:pPr>
        <w:pStyle w:val="4"/>
      </w:pPr>
      <w:bookmarkStart w:id="6" w:name="_Toc10540"/>
      <w:r>
        <w:rPr>
          <w:rFonts w:hint="eastAsia"/>
        </w:rPr>
        <w:t>CA证书激活</w:t>
      </w:r>
      <w:bookmarkEnd w:id="6"/>
    </w:p>
    <w:p w14:paraId="3F70D413">
      <w:r>
        <w:t>办理了数字证书的单位</w:t>
      </w:r>
      <w:r>
        <w:rPr>
          <w:rFonts w:hint="eastAsia"/>
        </w:rPr>
        <w:t>，</w:t>
      </w:r>
      <w:r>
        <w:t>可以在此页面上激活绑定CA锁</w:t>
      </w:r>
      <w:r>
        <w:rPr>
          <w:rFonts w:hint="eastAsia"/>
        </w:rPr>
        <w:t>。如下图所示：</w:t>
      </w:r>
    </w:p>
    <w:p w14:paraId="6CF9EB04">
      <w:pPr>
        <w:jc w:val="center"/>
      </w:pPr>
      <w:r>
        <w:drawing>
          <wp:inline distT="0" distB="0" distL="0" distR="0">
            <wp:extent cx="5701665" cy="2293620"/>
            <wp:effectExtent l="0" t="0" r="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21"/>
                    <a:stretch>
                      <a:fillRect/>
                    </a:stretch>
                  </pic:blipFill>
                  <pic:spPr>
                    <a:xfrm>
                      <a:off x="0" y="0"/>
                      <a:ext cx="5715340" cy="2299366"/>
                    </a:xfrm>
                    <a:prstGeom prst="rect">
                      <a:avLst/>
                    </a:prstGeom>
                  </pic:spPr>
                </pic:pic>
              </a:graphicData>
            </a:graphic>
          </wp:inline>
        </w:drawing>
      </w:r>
    </w:p>
    <w:p w14:paraId="4EB576F8">
      <w:r>
        <w:rPr>
          <w:rFonts w:hint="eastAsia"/>
          <w:b/>
        </w:rPr>
        <w:t>操作流程：</w:t>
      </w:r>
      <w:r>
        <w:rPr>
          <w:rFonts w:hint="eastAsia"/>
        </w:rPr>
        <w:t>1、将CA锁插在电脑的USB接口上（请确保本台电脑以正确安装成功了系统驱动）；</w:t>
      </w:r>
    </w:p>
    <w:p w14:paraId="5EB4F607">
      <w:r>
        <w:rPr>
          <w:rFonts w:hint="eastAsia"/>
        </w:rPr>
        <w:t>2、点击打开“CA证书激活”菜单后，完善页面信息后，先点击读取证书按钮，再点击“激活/修改”按钮后，可完成绑定CA锁操作。</w:t>
      </w:r>
    </w:p>
    <w:p w14:paraId="09FD0ECD">
      <w:pPr>
        <w:rPr>
          <w:b/>
          <w:color w:val="FF0000"/>
        </w:rPr>
      </w:pPr>
      <w:r>
        <w:rPr>
          <w:rFonts w:hint="eastAsia"/>
          <w:b/>
          <w:color w:val="FF0000"/>
        </w:rPr>
        <w:t>注：如需要添加其他用户类型（例如：招标单位、供应商等），请点击左上角“我要增加用户类型”按钮！！！</w:t>
      </w:r>
    </w:p>
    <w:p w14:paraId="6A32E183">
      <w:pPr>
        <w:rPr>
          <w:b/>
          <w:color w:val="FF0000"/>
        </w:rPr>
      </w:pPr>
    </w:p>
    <w:p w14:paraId="1F47E953">
      <w:pPr>
        <w:pStyle w:val="3"/>
      </w:pPr>
      <w:bookmarkStart w:id="7" w:name="_Toc1717"/>
      <w:r>
        <w:t>业务模块简介</w:t>
      </w:r>
      <w:bookmarkEnd w:id="7"/>
    </w:p>
    <w:p w14:paraId="4150AF09">
      <w:r>
        <w:t>采购单位的业务模块按照计划的申报</w:t>
      </w:r>
      <w:r>
        <w:rPr>
          <w:rFonts w:hint="eastAsia"/>
        </w:rPr>
        <w:t>，采购机构和采购</w:t>
      </w:r>
      <w:r>
        <w:t>方式等信息的确定</w:t>
      </w:r>
      <w:r>
        <w:rPr>
          <w:rFonts w:hint="eastAsia"/>
        </w:rPr>
        <w:t>。</w:t>
      </w:r>
      <w:r>
        <w:t>并根据采购项目组织形式的不同对采购单位的采购业务模块进行分类</w:t>
      </w:r>
      <w:r>
        <w:rPr>
          <w:rFonts w:hint="eastAsia"/>
        </w:rPr>
        <w:t>。</w:t>
      </w:r>
    </w:p>
    <w:p w14:paraId="275CF153">
      <w:r>
        <w:rPr>
          <w:rFonts w:hint="eastAsia"/>
        </w:rPr>
        <w:t>采购业务栏目下具体有以下子栏目：“采购计划”、“委托采购”、“自行采购”、“协议采购”以及“合同备案与验收”。如下图所示：</w:t>
      </w:r>
    </w:p>
    <w:p w14:paraId="42BAA6EE">
      <w:r>
        <w:drawing>
          <wp:inline distT="0" distB="0" distL="0" distR="0">
            <wp:extent cx="1942465" cy="713740"/>
            <wp:effectExtent l="0" t="0" r="635"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22"/>
                    <a:stretch>
                      <a:fillRect/>
                    </a:stretch>
                  </pic:blipFill>
                  <pic:spPr>
                    <a:xfrm>
                      <a:off x="0" y="0"/>
                      <a:ext cx="1942857" cy="714286"/>
                    </a:xfrm>
                    <a:prstGeom prst="rect">
                      <a:avLst/>
                    </a:prstGeom>
                  </pic:spPr>
                </pic:pic>
              </a:graphicData>
            </a:graphic>
          </wp:inline>
        </w:drawing>
      </w:r>
      <w:r>
        <w:t xml:space="preserve"> </w:t>
      </w:r>
      <w:r>
        <w:drawing>
          <wp:inline distT="0" distB="0" distL="0" distR="0">
            <wp:extent cx="1771015" cy="514350"/>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23"/>
                    <a:stretch>
                      <a:fillRect/>
                    </a:stretch>
                  </pic:blipFill>
                  <pic:spPr>
                    <a:xfrm>
                      <a:off x="0" y="0"/>
                      <a:ext cx="1771429" cy="514287"/>
                    </a:xfrm>
                    <a:prstGeom prst="rect">
                      <a:avLst/>
                    </a:prstGeom>
                  </pic:spPr>
                </pic:pic>
              </a:graphicData>
            </a:graphic>
          </wp:inline>
        </w:drawing>
      </w:r>
      <w:r>
        <w:t xml:space="preserve"> </w:t>
      </w:r>
      <w:r>
        <w:drawing>
          <wp:inline distT="0" distB="0" distL="0" distR="0">
            <wp:extent cx="1676400" cy="571500"/>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24"/>
                    <a:stretch>
                      <a:fillRect/>
                    </a:stretch>
                  </pic:blipFill>
                  <pic:spPr>
                    <a:xfrm>
                      <a:off x="0" y="0"/>
                      <a:ext cx="1676190" cy="571428"/>
                    </a:xfrm>
                    <a:prstGeom prst="rect">
                      <a:avLst/>
                    </a:prstGeom>
                  </pic:spPr>
                </pic:pic>
              </a:graphicData>
            </a:graphic>
          </wp:inline>
        </w:drawing>
      </w:r>
      <w:r>
        <w:t xml:space="preserve"> </w:t>
      </w:r>
      <w:r>
        <w:drawing>
          <wp:inline distT="0" distB="0" distL="0" distR="0">
            <wp:extent cx="1381125" cy="57150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25"/>
                    <a:stretch>
                      <a:fillRect/>
                    </a:stretch>
                  </pic:blipFill>
                  <pic:spPr>
                    <a:xfrm>
                      <a:off x="0" y="0"/>
                      <a:ext cx="1380952" cy="571428"/>
                    </a:xfrm>
                    <a:prstGeom prst="rect">
                      <a:avLst/>
                    </a:prstGeom>
                  </pic:spPr>
                </pic:pic>
              </a:graphicData>
            </a:graphic>
          </wp:inline>
        </w:drawing>
      </w:r>
      <w:r>
        <w:t xml:space="preserve"> </w:t>
      </w:r>
      <w:r>
        <w:drawing>
          <wp:inline distT="0" distB="0" distL="0" distR="0">
            <wp:extent cx="1342390" cy="571500"/>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26"/>
                    <a:stretch>
                      <a:fillRect/>
                    </a:stretch>
                  </pic:blipFill>
                  <pic:spPr>
                    <a:xfrm>
                      <a:off x="0" y="0"/>
                      <a:ext cx="1342857" cy="571429"/>
                    </a:xfrm>
                    <a:prstGeom prst="rect">
                      <a:avLst/>
                    </a:prstGeom>
                  </pic:spPr>
                </pic:pic>
              </a:graphicData>
            </a:graphic>
          </wp:inline>
        </w:drawing>
      </w:r>
    </w:p>
    <w:p w14:paraId="5B9D065A">
      <w:pPr>
        <w:rPr>
          <w:b/>
          <w:color w:val="FF0000"/>
        </w:rPr>
      </w:pPr>
      <w:r>
        <w:rPr>
          <w:rFonts w:hint="eastAsia"/>
          <w:b/>
          <w:color w:val="FF0000"/>
        </w:rPr>
        <w:t>注：在第二章节中，会详细描述采购业务各个模块的功能与操作。</w:t>
      </w:r>
    </w:p>
    <w:p w14:paraId="6436AB77">
      <w:pPr>
        <w:pStyle w:val="2"/>
        <w:rPr>
          <w:i/>
          <w:iCs/>
        </w:rPr>
      </w:pPr>
      <w:bookmarkStart w:id="8" w:name="_Toc18895"/>
      <w:bookmarkStart w:id="9" w:name="_Toc332110307"/>
      <w:r>
        <w:rPr>
          <w:rFonts w:hint="eastAsia"/>
        </w:rPr>
        <w:t>采购计划</w:t>
      </w:r>
      <w:bookmarkEnd w:id="8"/>
    </w:p>
    <w:p w14:paraId="02AE1A18">
      <w:pPr>
        <w:pStyle w:val="3"/>
        <w:bidi w:val="0"/>
        <w:rPr>
          <w:rFonts w:hint="default"/>
          <w:lang w:val="en-US" w:eastAsia="zh-CN"/>
        </w:rPr>
      </w:pPr>
      <w:bookmarkStart w:id="10" w:name="_Toc339"/>
      <w:r>
        <w:rPr>
          <w:rFonts w:hint="eastAsia"/>
          <w:lang w:val="en-US" w:eastAsia="zh-CN"/>
        </w:rPr>
        <w:t>采购预算查询</w:t>
      </w:r>
      <w:bookmarkEnd w:id="10"/>
    </w:p>
    <w:p w14:paraId="09724AB6">
      <w:pPr>
        <w:rPr>
          <w:rFonts w:hint="eastAsia"/>
          <w:color w:val="FF0000"/>
          <w:lang w:val="en-US" w:eastAsia="zh-CN"/>
        </w:rPr>
      </w:pPr>
      <w:r>
        <w:rPr>
          <w:rFonts w:hint="eastAsia"/>
          <w:lang w:val="en-US" w:eastAsia="zh-CN"/>
        </w:rPr>
        <w:t>通过采购预算单位辖区及单位预算编码获取一体化平台的采购预算。</w:t>
      </w:r>
      <w:r>
        <w:rPr>
          <w:rFonts w:hint="eastAsia"/>
          <w:color w:val="000000" w:themeColor="text1"/>
          <w:lang w:val="en-US" w:eastAsia="zh-CN"/>
        </w:rPr>
        <w:t>其中，可意向公开余额为可申报意向公开的金额；可申报计划余额为新增条目可以选到采购预算的余额。</w:t>
      </w:r>
      <w:r>
        <w:rPr>
          <w:rFonts w:hint="eastAsia"/>
          <w:color w:val="FF0000"/>
          <w:lang w:val="en-US" w:eastAsia="zh-CN"/>
        </w:rPr>
        <w:t>提示:采购预算为空，请核查采购预算单位基本信息中预算编码是否完善。如已完善，请联系采购办查询一体化平台是否推送采购预算。一体化平台推送的单位名称与采购预算单位基本信息中单位名称不一致，请同当地采购办核实预算编码是否正确，详见操作手册!</w:t>
      </w:r>
    </w:p>
    <w:p w14:paraId="66F06568">
      <w:pPr>
        <w:rPr>
          <w:rFonts w:hint="default"/>
          <w:b/>
          <w:bCs/>
          <w:color w:val="auto"/>
          <w:lang w:val="en-US" w:eastAsia="zh-CN"/>
        </w:rPr>
      </w:pPr>
      <w:r>
        <w:rPr>
          <w:rFonts w:hint="eastAsia"/>
          <w:b/>
          <w:bCs/>
          <w:color w:val="auto"/>
          <w:lang w:val="en-US" w:eastAsia="zh-CN"/>
        </w:rPr>
        <w:t>具体采购预算显示会有四种情况如下：</w:t>
      </w:r>
    </w:p>
    <w:p w14:paraId="5709562D">
      <w:pPr>
        <w:rPr>
          <w:rFonts w:hint="default"/>
          <w:color w:val="FF0000"/>
          <w:lang w:val="en-US" w:eastAsia="zh-CN"/>
        </w:rPr>
      </w:pPr>
      <w:r>
        <w:rPr>
          <w:rFonts w:hint="eastAsia"/>
          <w:color w:val="auto"/>
          <w:lang w:val="en-US" w:eastAsia="zh-CN"/>
        </w:rPr>
        <w:t>一、如下图为正常</w:t>
      </w:r>
    </w:p>
    <w:p w14:paraId="7AD09E1D">
      <w:r>
        <w:drawing>
          <wp:inline distT="0" distB="0" distL="114300" distR="114300">
            <wp:extent cx="5730240" cy="1960880"/>
            <wp:effectExtent l="0" t="0" r="10160" b="7620"/>
            <wp:docPr id="2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
                    <pic:cNvPicPr>
                      <a:picLocks noChangeAspect="1"/>
                    </pic:cNvPicPr>
                  </pic:nvPicPr>
                  <pic:blipFill>
                    <a:blip r:embed="rId27"/>
                    <a:stretch>
                      <a:fillRect/>
                    </a:stretch>
                  </pic:blipFill>
                  <pic:spPr>
                    <a:xfrm>
                      <a:off x="0" y="0"/>
                      <a:ext cx="5730240" cy="1960880"/>
                    </a:xfrm>
                    <a:prstGeom prst="rect">
                      <a:avLst/>
                    </a:prstGeom>
                    <a:noFill/>
                    <a:ln>
                      <a:noFill/>
                    </a:ln>
                  </pic:spPr>
                </pic:pic>
              </a:graphicData>
            </a:graphic>
          </wp:inline>
        </w:drawing>
      </w:r>
    </w:p>
    <w:p w14:paraId="29D4B617">
      <w:pPr>
        <w:numPr>
          <w:ilvl w:val="0"/>
          <w:numId w:val="2"/>
        </w:numPr>
        <w:rPr>
          <w:rFonts w:hint="eastAsia"/>
          <w:lang w:val="en-US" w:eastAsia="zh-CN"/>
        </w:rPr>
      </w:pPr>
      <w:r>
        <w:rPr>
          <w:rFonts w:hint="eastAsia"/>
          <w:lang w:val="en-US" w:eastAsia="zh-CN"/>
        </w:rPr>
        <w:t>如果核查预算编码及单位名称、采购预算没有问题，可以无视单位名称爆红，如下图为正常</w:t>
      </w:r>
    </w:p>
    <w:p w14:paraId="3D0415D1">
      <w:pPr>
        <w:numPr>
          <w:ilvl w:val="0"/>
          <w:numId w:val="0"/>
        </w:numPr>
        <w:rPr>
          <w:rFonts w:hint="eastAsia"/>
          <w:lang w:val="en-US" w:eastAsia="zh-CN"/>
        </w:rPr>
      </w:pPr>
      <w:r>
        <w:drawing>
          <wp:inline distT="0" distB="0" distL="114300" distR="114300">
            <wp:extent cx="5727065" cy="2187575"/>
            <wp:effectExtent l="0" t="0" r="635" b="9525"/>
            <wp:docPr id="1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pic:cNvPicPr>
                      <a:picLocks noChangeAspect="1"/>
                    </pic:cNvPicPr>
                  </pic:nvPicPr>
                  <pic:blipFill>
                    <a:blip r:embed="rId28"/>
                    <a:stretch>
                      <a:fillRect/>
                    </a:stretch>
                  </pic:blipFill>
                  <pic:spPr>
                    <a:xfrm>
                      <a:off x="0" y="0"/>
                      <a:ext cx="5727065" cy="2187575"/>
                    </a:xfrm>
                    <a:prstGeom prst="rect">
                      <a:avLst/>
                    </a:prstGeom>
                    <a:noFill/>
                    <a:ln>
                      <a:noFill/>
                    </a:ln>
                  </pic:spPr>
                </pic:pic>
              </a:graphicData>
            </a:graphic>
          </wp:inline>
        </w:drawing>
      </w:r>
    </w:p>
    <w:p w14:paraId="186CD359">
      <w:pPr>
        <w:numPr>
          <w:ilvl w:val="0"/>
          <w:numId w:val="2"/>
        </w:numPr>
        <w:rPr>
          <w:rFonts w:hint="eastAsia"/>
          <w:lang w:val="en-US" w:eastAsia="zh-CN"/>
        </w:rPr>
      </w:pPr>
      <w:r>
        <w:rPr>
          <w:rFonts w:hint="eastAsia"/>
          <w:lang w:val="en-US" w:eastAsia="zh-CN"/>
        </w:rPr>
        <w:t xml:space="preserve">如果核查预算编码及单位名称不对，单位名称爆红，请先不要进行下面流程，主动联系本辖区监管部门或者新点客服400-998-0000 </w:t>
      </w:r>
    </w:p>
    <w:p w14:paraId="632C411E">
      <w:pPr>
        <w:numPr>
          <w:ilvl w:val="0"/>
          <w:numId w:val="0"/>
        </w:numPr>
        <w:rPr>
          <w:rFonts w:hint="eastAsia"/>
          <w:lang w:val="en-US" w:eastAsia="zh-CN"/>
        </w:rPr>
      </w:pPr>
      <w:r>
        <w:drawing>
          <wp:inline distT="0" distB="0" distL="114300" distR="114300">
            <wp:extent cx="5724525" cy="2172970"/>
            <wp:effectExtent l="0" t="0" r="3175" b="1143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29"/>
                    <a:stretch>
                      <a:fillRect/>
                    </a:stretch>
                  </pic:blipFill>
                  <pic:spPr>
                    <a:xfrm>
                      <a:off x="0" y="0"/>
                      <a:ext cx="5724525" cy="2172970"/>
                    </a:xfrm>
                    <a:prstGeom prst="rect">
                      <a:avLst/>
                    </a:prstGeom>
                    <a:noFill/>
                    <a:ln>
                      <a:noFill/>
                    </a:ln>
                  </pic:spPr>
                </pic:pic>
              </a:graphicData>
            </a:graphic>
          </wp:inline>
        </w:drawing>
      </w:r>
    </w:p>
    <w:p w14:paraId="7BEEA557">
      <w:pPr>
        <w:numPr>
          <w:ilvl w:val="0"/>
          <w:numId w:val="2"/>
        </w:numPr>
        <w:rPr>
          <w:rFonts w:hint="eastAsia"/>
          <w:lang w:val="en-US" w:eastAsia="zh-CN"/>
        </w:rPr>
      </w:pPr>
      <w:r>
        <w:rPr>
          <w:rFonts w:hint="eastAsia"/>
          <w:lang w:val="en-US" w:eastAsia="zh-CN"/>
        </w:rPr>
        <w:t>如果采购预算显示为空，如下图：</w:t>
      </w:r>
    </w:p>
    <w:p w14:paraId="6AC689B4">
      <w:pPr>
        <w:numPr>
          <w:ilvl w:val="0"/>
          <w:numId w:val="0"/>
        </w:numPr>
      </w:pPr>
      <w:r>
        <w:drawing>
          <wp:inline distT="0" distB="0" distL="114300" distR="114300">
            <wp:extent cx="5730240" cy="2169795"/>
            <wp:effectExtent l="0" t="0" r="10160" b="1905"/>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30"/>
                    <a:stretch>
                      <a:fillRect/>
                    </a:stretch>
                  </pic:blipFill>
                  <pic:spPr>
                    <a:xfrm>
                      <a:off x="0" y="0"/>
                      <a:ext cx="5730240" cy="2169795"/>
                    </a:xfrm>
                    <a:prstGeom prst="rect">
                      <a:avLst/>
                    </a:prstGeom>
                    <a:noFill/>
                    <a:ln>
                      <a:noFill/>
                    </a:ln>
                  </pic:spPr>
                </pic:pic>
              </a:graphicData>
            </a:graphic>
          </wp:inline>
        </w:drawing>
      </w:r>
    </w:p>
    <w:p w14:paraId="28A71727">
      <w:pPr>
        <w:numPr>
          <w:ilvl w:val="0"/>
          <w:numId w:val="0"/>
        </w:numPr>
        <w:rPr>
          <w:rFonts w:hint="eastAsia"/>
          <w:lang w:val="en-US" w:eastAsia="zh-CN"/>
        </w:rPr>
      </w:pPr>
      <w:r>
        <w:rPr>
          <w:rFonts w:hint="eastAsia"/>
          <w:color w:val="FF0000"/>
          <w:lang w:val="en-US" w:eastAsia="zh-CN"/>
        </w:rPr>
        <w:t>提示:采购预算为空，请核查采购预算单位基本信息中预算编码是否完善。如已完善，请联系采购办查询一体化平台是否推送采购预算。一体化平台推送的单位名称与采购预算单位基本信息中单位名称不一致，请同当地采购办核实预算编码是否正确，详见操作手册!</w:t>
      </w:r>
    </w:p>
    <w:p w14:paraId="0A8BEE90">
      <w:pPr>
        <w:numPr>
          <w:ilvl w:val="0"/>
          <w:numId w:val="0"/>
        </w:numPr>
        <w:rPr>
          <w:rFonts w:hint="default"/>
          <w:lang w:val="en-US" w:eastAsia="zh-CN"/>
        </w:rPr>
      </w:pPr>
    </w:p>
    <w:p w14:paraId="43A492D1">
      <w:pPr>
        <w:pStyle w:val="3"/>
        <w:bidi w:val="0"/>
        <w:rPr>
          <w:rFonts w:hint="default"/>
          <w:lang w:val="en-US" w:eastAsia="zh-CN"/>
        </w:rPr>
      </w:pPr>
      <w:bookmarkStart w:id="11" w:name="_Toc23679"/>
      <w:r>
        <w:rPr>
          <w:rFonts w:hint="eastAsia"/>
          <w:lang w:val="en-US" w:eastAsia="zh-CN"/>
        </w:rPr>
        <w:t>项目类型及意向</w:t>
      </w:r>
      <w:bookmarkEnd w:id="11"/>
    </w:p>
    <w:p w14:paraId="3B1E3304">
      <w:r>
        <w:rPr>
          <w:rFonts w:hint="eastAsia"/>
        </w:rPr>
        <w:t>预算单位可新增发起</w:t>
      </w:r>
      <w:r>
        <w:rPr>
          <w:rFonts w:hint="eastAsia"/>
          <w:lang w:val="en-US" w:eastAsia="zh-CN"/>
        </w:rPr>
        <w:t>意向公开</w:t>
      </w:r>
      <w:r>
        <w:rPr>
          <w:rFonts w:hint="eastAsia"/>
        </w:rPr>
        <w:t>，进入菜单“采购计划—</w:t>
      </w:r>
      <w:r>
        <w:rPr>
          <w:rFonts w:hint="eastAsia"/>
          <w:lang w:val="en-US" w:eastAsia="zh-CN"/>
        </w:rPr>
        <w:t>项目类型及意向</w:t>
      </w:r>
      <w:r>
        <w:rPr>
          <w:rFonts w:hint="eastAsia"/>
        </w:rPr>
        <w:t>”，如下图</w:t>
      </w:r>
      <w:r>
        <w:drawing>
          <wp:inline distT="0" distB="0" distL="114300" distR="114300">
            <wp:extent cx="5730240" cy="1640840"/>
            <wp:effectExtent l="0" t="0" r="10160" b="10160"/>
            <wp:docPr id="2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
                    <pic:cNvPicPr>
                      <a:picLocks noChangeAspect="1"/>
                    </pic:cNvPicPr>
                  </pic:nvPicPr>
                  <pic:blipFill>
                    <a:blip r:embed="rId31"/>
                    <a:stretch>
                      <a:fillRect/>
                    </a:stretch>
                  </pic:blipFill>
                  <pic:spPr>
                    <a:xfrm>
                      <a:off x="0" y="0"/>
                      <a:ext cx="5730240" cy="1640840"/>
                    </a:xfrm>
                    <a:prstGeom prst="rect">
                      <a:avLst/>
                    </a:prstGeom>
                    <a:noFill/>
                    <a:ln>
                      <a:noFill/>
                    </a:ln>
                  </pic:spPr>
                </pic:pic>
              </a:graphicData>
            </a:graphic>
          </wp:inline>
        </w:drawing>
      </w:r>
    </w:p>
    <w:p w14:paraId="27CE111D">
      <w:pPr>
        <w:rPr>
          <w:rFonts w:hint="eastAsia"/>
        </w:rPr>
      </w:pPr>
      <w:r>
        <w:rPr>
          <w:rFonts w:hint="eastAsia"/>
          <w:lang w:val="en-US" w:eastAsia="zh-CN"/>
        </w:rPr>
        <w:t>点击</w:t>
      </w:r>
      <w:r>
        <w:drawing>
          <wp:inline distT="0" distB="0" distL="114300" distR="114300">
            <wp:extent cx="660400" cy="298450"/>
            <wp:effectExtent l="0" t="0" r="0" b="6350"/>
            <wp:docPr id="2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3"/>
                    <pic:cNvPicPr>
                      <a:picLocks noChangeAspect="1"/>
                    </pic:cNvPicPr>
                  </pic:nvPicPr>
                  <pic:blipFill>
                    <a:blip r:embed="rId32"/>
                    <a:stretch>
                      <a:fillRect/>
                    </a:stretch>
                  </pic:blipFill>
                  <pic:spPr>
                    <a:xfrm>
                      <a:off x="0" y="0"/>
                      <a:ext cx="660400" cy="298450"/>
                    </a:xfrm>
                    <a:prstGeom prst="rect">
                      <a:avLst/>
                    </a:prstGeom>
                    <a:noFill/>
                    <a:ln>
                      <a:noFill/>
                    </a:ln>
                  </pic:spPr>
                </pic:pic>
              </a:graphicData>
            </a:graphic>
          </wp:inline>
        </w:drawing>
      </w:r>
      <w:r>
        <w:rPr>
          <w:rFonts w:hint="eastAsia"/>
          <w:lang w:val="en-US" w:eastAsia="zh-CN"/>
        </w:rPr>
        <w:t>按钮后跳出</w:t>
      </w:r>
      <w:r>
        <w:rPr>
          <w:rFonts w:hint="eastAsia"/>
        </w:rPr>
        <w:t>如下页面（</w:t>
      </w:r>
      <w:r>
        <w:rPr>
          <w:rFonts w:hint="eastAsia"/>
          <w:b/>
        </w:rPr>
        <w:t>只有预算单位才能新增</w:t>
      </w:r>
      <w:r>
        <w:rPr>
          <w:rFonts w:hint="eastAsia"/>
          <w:b/>
          <w:lang w:val="en-US" w:eastAsia="zh-CN"/>
        </w:rPr>
        <w:t>项目类型及意向，</w:t>
      </w:r>
      <w:r>
        <w:rPr>
          <w:rFonts w:hint="eastAsia"/>
          <w:b/>
        </w:rPr>
        <w:t>主管预算单位是无法</w:t>
      </w:r>
      <w:r>
        <w:rPr>
          <w:rFonts w:hint="eastAsia"/>
          <w:b/>
          <w:lang w:val="en-US" w:eastAsia="zh-CN"/>
        </w:rPr>
        <w:t>项目类型及意向</w:t>
      </w:r>
      <w:r>
        <w:rPr>
          <w:rFonts w:hint="eastAsia"/>
          <w:b/>
        </w:rPr>
        <w:t>的，只能审批下级单位</w:t>
      </w:r>
      <w:r>
        <w:rPr>
          <w:rFonts w:hint="eastAsia"/>
          <w:b/>
          <w:lang w:val="en-US" w:eastAsia="zh-CN"/>
        </w:rPr>
        <w:t>提交的意向公开</w:t>
      </w:r>
      <w:r>
        <w:rPr>
          <w:rFonts w:hint="eastAsia"/>
        </w:rPr>
        <w:t>）。</w:t>
      </w:r>
    </w:p>
    <w:p w14:paraId="5B5DA3C0">
      <w:r>
        <w:drawing>
          <wp:inline distT="0" distB="0" distL="114300" distR="114300">
            <wp:extent cx="5725160" cy="2319655"/>
            <wp:effectExtent l="0" t="0" r="2540" b="4445"/>
            <wp:docPr id="2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4"/>
                    <pic:cNvPicPr>
                      <a:picLocks noChangeAspect="1"/>
                    </pic:cNvPicPr>
                  </pic:nvPicPr>
                  <pic:blipFill>
                    <a:blip r:embed="rId33"/>
                    <a:stretch>
                      <a:fillRect/>
                    </a:stretch>
                  </pic:blipFill>
                  <pic:spPr>
                    <a:xfrm>
                      <a:off x="0" y="0"/>
                      <a:ext cx="5725160" cy="2319655"/>
                    </a:xfrm>
                    <a:prstGeom prst="rect">
                      <a:avLst/>
                    </a:prstGeom>
                    <a:noFill/>
                    <a:ln>
                      <a:noFill/>
                    </a:ln>
                  </pic:spPr>
                </pic:pic>
              </a:graphicData>
            </a:graphic>
          </wp:inline>
        </w:drawing>
      </w:r>
    </w:p>
    <w:p w14:paraId="6D6A480C">
      <w:pPr>
        <w:rPr>
          <w:rFonts w:hint="default"/>
          <w:b w:val="0"/>
          <w:bCs w:val="0"/>
          <w:color w:val="000000" w:themeColor="text1"/>
          <w:lang w:val="en-US" w:eastAsia="zh-CN"/>
        </w:rPr>
      </w:pPr>
      <w:r>
        <w:rPr>
          <w:rFonts w:hint="eastAsia"/>
          <w:b/>
          <w:bCs/>
          <w:color w:val="000000" w:themeColor="text1"/>
          <w:lang w:val="en-US" w:eastAsia="zh-CN"/>
        </w:rPr>
        <w:t>意向公开填写的预算金额不能大于可意向公开金额。</w:t>
      </w:r>
      <w:r>
        <w:rPr>
          <w:rFonts w:hint="eastAsia"/>
          <w:b w:val="0"/>
          <w:bCs w:val="0"/>
          <w:color w:val="000000" w:themeColor="text1"/>
          <w:lang w:val="en-US" w:eastAsia="zh-CN"/>
        </w:rPr>
        <w:t>挑选采购预算后跳转到如下图：</w:t>
      </w:r>
    </w:p>
    <w:p w14:paraId="2ADDA7B3">
      <w:r>
        <w:drawing>
          <wp:inline distT="0" distB="0" distL="114300" distR="114300">
            <wp:extent cx="5724525" cy="2218055"/>
            <wp:effectExtent l="0" t="0" r="3175" b="4445"/>
            <wp:docPr id="4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6"/>
                    <pic:cNvPicPr>
                      <a:picLocks noChangeAspect="1"/>
                    </pic:cNvPicPr>
                  </pic:nvPicPr>
                  <pic:blipFill>
                    <a:blip r:embed="rId34"/>
                    <a:stretch>
                      <a:fillRect/>
                    </a:stretch>
                  </pic:blipFill>
                  <pic:spPr>
                    <a:xfrm>
                      <a:off x="0" y="0"/>
                      <a:ext cx="5724525" cy="2218055"/>
                    </a:xfrm>
                    <a:prstGeom prst="rect">
                      <a:avLst/>
                    </a:prstGeom>
                    <a:noFill/>
                    <a:ln>
                      <a:noFill/>
                    </a:ln>
                  </pic:spPr>
                </pic:pic>
              </a:graphicData>
            </a:graphic>
          </wp:inline>
        </w:drawing>
      </w:r>
    </w:p>
    <w:p w14:paraId="49176F0F">
      <w:pPr>
        <w:rPr>
          <w:rFonts w:hint="default"/>
          <w:lang w:val="en-US" w:eastAsia="zh-CN"/>
        </w:rPr>
      </w:pPr>
      <w:r>
        <w:rPr>
          <w:rFonts w:hint="eastAsia"/>
          <w:lang w:val="en-US" w:eastAsia="zh-CN"/>
        </w:rPr>
        <w:t>选择普通采购：意向公开需要主管单位审核，需要意向公开30天之后，采购预算才可以进行申报采购计划，意向公开审核通过之后，可意向公开余额会相应减少，意向公开截止时间到了可申报采购计划余额会相应增加。</w:t>
      </w:r>
    </w:p>
    <w:p w14:paraId="47893A75">
      <w:r>
        <w:drawing>
          <wp:inline distT="0" distB="0" distL="114300" distR="114300">
            <wp:extent cx="5727700" cy="2324100"/>
            <wp:effectExtent l="0" t="0" r="0" b="0"/>
            <wp:docPr id="4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7"/>
                    <pic:cNvPicPr>
                      <a:picLocks noChangeAspect="1"/>
                    </pic:cNvPicPr>
                  </pic:nvPicPr>
                  <pic:blipFill>
                    <a:blip r:embed="rId35"/>
                    <a:stretch>
                      <a:fillRect/>
                    </a:stretch>
                  </pic:blipFill>
                  <pic:spPr>
                    <a:xfrm>
                      <a:off x="0" y="0"/>
                      <a:ext cx="5727700" cy="2324100"/>
                    </a:xfrm>
                    <a:prstGeom prst="rect">
                      <a:avLst/>
                    </a:prstGeom>
                    <a:noFill/>
                    <a:ln>
                      <a:noFill/>
                    </a:ln>
                  </pic:spPr>
                </pic:pic>
              </a:graphicData>
            </a:graphic>
          </wp:inline>
        </w:drawing>
      </w:r>
    </w:p>
    <w:p w14:paraId="3C7CA3EF">
      <w:pPr>
        <w:rPr>
          <w:rFonts w:hint="eastAsia"/>
          <w:lang w:val="en-US" w:eastAsia="zh-CN"/>
        </w:rPr>
      </w:pPr>
      <w:r>
        <w:rPr>
          <w:rFonts w:hint="eastAsia"/>
          <w:lang w:val="en-US" w:eastAsia="zh-CN"/>
        </w:rPr>
        <w:t>选择急需采购或者电子卖场，无需主管单位审核直接审核通过，采购预算才可以进行申报采购计划，意向公开审核通过之后，可意向公开余额会相应减少，可申报采购计划余额会相应增加。</w:t>
      </w:r>
    </w:p>
    <w:p w14:paraId="51BB9031">
      <w:r>
        <w:drawing>
          <wp:inline distT="0" distB="0" distL="114300" distR="114300">
            <wp:extent cx="5730875" cy="2204720"/>
            <wp:effectExtent l="0" t="0" r="9525" b="5080"/>
            <wp:docPr id="6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8"/>
                    <pic:cNvPicPr>
                      <a:picLocks noChangeAspect="1"/>
                    </pic:cNvPicPr>
                  </pic:nvPicPr>
                  <pic:blipFill>
                    <a:blip r:embed="rId36"/>
                    <a:stretch>
                      <a:fillRect/>
                    </a:stretch>
                  </pic:blipFill>
                  <pic:spPr>
                    <a:xfrm>
                      <a:off x="0" y="0"/>
                      <a:ext cx="5730875" cy="2204720"/>
                    </a:xfrm>
                    <a:prstGeom prst="rect">
                      <a:avLst/>
                    </a:prstGeom>
                    <a:noFill/>
                    <a:ln>
                      <a:noFill/>
                    </a:ln>
                  </pic:spPr>
                </pic:pic>
              </a:graphicData>
            </a:graphic>
          </wp:inline>
        </w:drawing>
      </w:r>
    </w:p>
    <w:p w14:paraId="415B55CC">
      <w:pPr>
        <w:rPr>
          <w:rFonts w:hint="eastAsia"/>
          <w:lang w:val="en-US" w:eastAsia="zh-CN"/>
        </w:rPr>
      </w:pPr>
      <w:r>
        <w:rPr>
          <w:rFonts w:hint="eastAsia"/>
          <w:lang w:val="en-US" w:eastAsia="zh-CN"/>
        </w:rPr>
        <w:t>项目类型及意向中，</w:t>
      </w:r>
      <w:r>
        <w:drawing>
          <wp:inline distT="0" distB="0" distL="114300" distR="114300">
            <wp:extent cx="774700" cy="355600"/>
            <wp:effectExtent l="0" t="0" r="0" b="0"/>
            <wp:docPr id="6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9"/>
                    <pic:cNvPicPr>
                      <a:picLocks noChangeAspect="1"/>
                    </pic:cNvPicPr>
                  </pic:nvPicPr>
                  <pic:blipFill>
                    <a:blip r:embed="rId37"/>
                    <a:stretch>
                      <a:fillRect/>
                    </a:stretch>
                  </pic:blipFill>
                  <pic:spPr>
                    <a:xfrm>
                      <a:off x="0" y="0"/>
                      <a:ext cx="774700" cy="355600"/>
                    </a:xfrm>
                    <a:prstGeom prst="rect">
                      <a:avLst/>
                    </a:prstGeom>
                    <a:noFill/>
                    <a:ln>
                      <a:noFill/>
                    </a:ln>
                  </pic:spPr>
                </pic:pic>
              </a:graphicData>
            </a:graphic>
          </wp:inline>
        </w:drawing>
      </w:r>
      <w:r>
        <w:rPr>
          <w:rFonts w:hint="eastAsia"/>
          <w:lang w:val="en-US" w:eastAsia="zh-CN"/>
        </w:rPr>
        <w:t>采购预算单位只能撤销急需采购或者电子卖场的意向公开的项目。</w:t>
      </w:r>
    </w:p>
    <w:p w14:paraId="03D4619B">
      <w:r>
        <w:drawing>
          <wp:inline distT="0" distB="0" distL="114300" distR="114300">
            <wp:extent cx="5730240" cy="2115820"/>
            <wp:effectExtent l="0" t="0" r="10160" b="5080"/>
            <wp:docPr id="6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10"/>
                    <pic:cNvPicPr>
                      <a:picLocks noChangeAspect="1"/>
                    </pic:cNvPicPr>
                  </pic:nvPicPr>
                  <pic:blipFill>
                    <a:blip r:embed="rId38"/>
                    <a:stretch>
                      <a:fillRect/>
                    </a:stretch>
                  </pic:blipFill>
                  <pic:spPr>
                    <a:xfrm>
                      <a:off x="0" y="0"/>
                      <a:ext cx="5730240" cy="2115820"/>
                    </a:xfrm>
                    <a:prstGeom prst="rect">
                      <a:avLst/>
                    </a:prstGeom>
                    <a:noFill/>
                    <a:ln>
                      <a:noFill/>
                    </a:ln>
                  </pic:spPr>
                </pic:pic>
              </a:graphicData>
            </a:graphic>
          </wp:inline>
        </w:drawing>
      </w:r>
    </w:p>
    <w:p w14:paraId="260E69F0">
      <w:pPr>
        <w:rPr>
          <w:rFonts w:hint="default" w:eastAsia="宋体"/>
          <w:lang w:val="en-US" w:eastAsia="zh-CN"/>
        </w:rPr>
      </w:pPr>
      <w:r>
        <w:rPr>
          <w:rFonts w:hint="eastAsia"/>
          <w:lang w:val="en-US" w:eastAsia="zh-CN"/>
        </w:rPr>
        <w:t>主管单位中，</w:t>
      </w:r>
      <w:r>
        <w:drawing>
          <wp:inline distT="0" distB="0" distL="114300" distR="114300">
            <wp:extent cx="825500" cy="330200"/>
            <wp:effectExtent l="0" t="0" r="0" b="0"/>
            <wp:docPr id="6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11"/>
                    <pic:cNvPicPr>
                      <a:picLocks noChangeAspect="1"/>
                    </pic:cNvPicPr>
                  </pic:nvPicPr>
                  <pic:blipFill>
                    <a:blip r:embed="rId39"/>
                    <a:stretch>
                      <a:fillRect/>
                    </a:stretch>
                  </pic:blipFill>
                  <pic:spPr>
                    <a:xfrm>
                      <a:off x="0" y="0"/>
                      <a:ext cx="825500" cy="330200"/>
                    </a:xfrm>
                    <a:prstGeom prst="rect">
                      <a:avLst/>
                    </a:prstGeom>
                    <a:noFill/>
                    <a:ln>
                      <a:noFill/>
                    </a:ln>
                  </pic:spPr>
                </pic:pic>
              </a:graphicData>
            </a:graphic>
          </wp:inline>
        </w:drawing>
      </w:r>
      <w:r>
        <w:rPr>
          <w:rFonts w:hint="eastAsia"/>
          <w:lang w:val="en-US" w:eastAsia="zh-CN"/>
        </w:rPr>
        <w:t>按钮可以退回普通采购的意向公开项目。</w:t>
      </w:r>
    </w:p>
    <w:p w14:paraId="31DE1523">
      <w:pPr>
        <w:pStyle w:val="3"/>
      </w:pPr>
      <w:bookmarkStart w:id="12" w:name="_Toc31048"/>
      <w:r>
        <w:rPr>
          <w:rFonts w:hint="eastAsia"/>
        </w:rPr>
        <w:t>申报采购计划</w:t>
      </w:r>
      <w:bookmarkEnd w:id="9"/>
      <w:bookmarkEnd w:id="12"/>
    </w:p>
    <w:p w14:paraId="001FCE92">
      <w:pPr>
        <w:ind w:firstLine="420" w:firstLineChars="200"/>
      </w:pPr>
      <w:r>
        <w:rPr>
          <w:rFonts w:hint="eastAsia"/>
        </w:rPr>
        <w:t>预算单位可新增发起申报采购计划，进入菜单“采购计划—申报采购计划”，如下图：</w:t>
      </w:r>
    </w:p>
    <w:p w14:paraId="7CC22A08">
      <w:pPr>
        <w:jc w:val="center"/>
        <w:rPr>
          <w:rFonts w:ascii="宋体" w:hAnsi="宋体" w:cs="宋体"/>
          <w:kern w:val="0"/>
          <w:sz w:val="24"/>
        </w:rPr>
      </w:pPr>
      <w:r>
        <w:drawing>
          <wp:inline distT="0" distB="0" distL="0" distR="0">
            <wp:extent cx="5570220" cy="1597025"/>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40"/>
                    <a:stretch>
                      <a:fillRect/>
                    </a:stretch>
                  </pic:blipFill>
                  <pic:spPr>
                    <a:xfrm>
                      <a:off x="0" y="0"/>
                      <a:ext cx="5592995" cy="1604102"/>
                    </a:xfrm>
                    <a:prstGeom prst="rect">
                      <a:avLst/>
                    </a:prstGeom>
                  </pic:spPr>
                </pic:pic>
              </a:graphicData>
            </a:graphic>
          </wp:inline>
        </w:drawing>
      </w:r>
    </w:p>
    <w:p w14:paraId="21475291">
      <w:r>
        <w:rPr>
          <w:rFonts w:hint="eastAsia"/>
        </w:rPr>
        <w:t>点击</w:t>
      </w:r>
      <w:r>
        <w:t xml:space="preserve"> </w:t>
      </w:r>
      <w:r>
        <w:drawing>
          <wp:inline distT="0" distB="0" distL="0" distR="0">
            <wp:extent cx="1037590" cy="33274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41"/>
                    <a:stretch>
                      <a:fillRect/>
                    </a:stretch>
                  </pic:blipFill>
                  <pic:spPr>
                    <a:xfrm>
                      <a:off x="0" y="0"/>
                      <a:ext cx="1038095" cy="333333"/>
                    </a:xfrm>
                    <a:prstGeom prst="rect">
                      <a:avLst/>
                    </a:prstGeom>
                  </pic:spPr>
                </pic:pic>
              </a:graphicData>
            </a:graphic>
          </wp:inline>
        </w:drawing>
      </w:r>
      <w:r>
        <w:rPr>
          <w:rFonts w:hint="eastAsia"/>
        </w:rPr>
        <w:t>按钮后跳出如下页面（</w:t>
      </w:r>
      <w:r>
        <w:rPr>
          <w:rFonts w:hint="eastAsia"/>
          <w:b/>
        </w:rPr>
        <w:t>只有预算单位才能新增采购计划；主管预算单位是无法申报采购计划的，只能审批下级单位申报的采购计划</w:t>
      </w:r>
      <w:r>
        <w:rPr>
          <w:rFonts w:hint="eastAsia"/>
        </w:rPr>
        <w:t>）。</w:t>
      </w:r>
    </w:p>
    <w:p w14:paraId="1E462BFC">
      <w:pPr>
        <w:rPr>
          <w:color w:val="FF0000"/>
        </w:rPr>
      </w:pPr>
      <w:r>
        <w:rPr>
          <w:rFonts w:hint="eastAsia"/>
          <w:color w:val="FF0000"/>
        </w:rPr>
        <w:t>如果系统弹出提示“系统检测到您没有设置主管预算单位，请在用户库下完成设置！”等相关提示时，那么说明下级预算单位需要在用户库中完成设置主管单位的操作（相关操作详见1.2.2设置主管预算单位）。</w:t>
      </w:r>
    </w:p>
    <w:p w14:paraId="521CC489">
      <w:r>
        <w:rPr>
          <w:rFonts w:hint="eastAsia"/>
          <w:color w:val="FF0000"/>
        </w:rPr>
        <w:t>请先完成设置主管预算单位并且主管预算单位确认之后，再进行采购计划申报的操作！</w:t>
      </w:r>
      <w:r>
        <w:rPr>
          <w:rFonts w:hint="eastAsia"/>
        </w:rPr>
        <w:t>申报采购计划时，需要完善以下信息，如下图所示：</w:t>
      </w:r>
    </w:p>
    <w:p w14:paraId="6361302B">
      <w:pPr>
        <w:rPr>
          <w:rFonts w:ascii="宋体" w:hAnsi="宋体" w:cs="宋体"/>
          <w:color w:val="FF0000"/>
          <w:kern w:val="0"/>
          <w:sz w:val="24"/>
        </w:rPr>
      </w:pPr>
      <w:r>
        <w:drawing>
          <wp:inline distT="0" distB="0" distL="0" distR="0">
            <wp:extent cx="5657215" cy="3113405"/>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42"/>
                    <a:stretch>
                      <a:fillRect/>
                    </a:stretch>
                  </pic:blipFill>
                  <pic:spPr>
                    <a:xfrm>
                      <a:off x="0" y="0"/>
                      <a:ext cx="5679070" cy="3125460"/>
                    </a:xfrm>
                    <a:prstGeom prst="rect">
                      <a:avLst/>
                    </a:prstGeom>
                  </pic:spPr>
                </pic:pic>
              </a:graphicData>
            </a:graphic>
          </wp:inline>
        </w:drawing>
      </w:r>
    </w:p>
    <w:p w14:paraId="7536F0C9">
      <w:pPr>
        <w:widowControl/>
        <w:jc w:val="left"/>
      </w:pPr>
      <w:r>
        <w:rPr>
          <w:rFonts w:hint="eastAsia"/>
        </w:rPr>
        <w:t>填写“计划信息”、“条目信息”，然后点</w:t>
      </w:r>
      <w:r>
        <w:drawing>
          <wp:inline distT="0" distB="0" distL="0" distR="0">
            <wp:extent cx="961390" cy="323215"/>
            <wp:effectExtent l="0" t="0" r="0" b="635"/>
            <wp:docPr id="247" name="图片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 name="图片 247"/>
                    <pic:cNvPicPr>
                      <a:picLocks noChangeAspect="1"/>
                    </pic:cNvPicPr>
                  </pic:nvPicPr>
                  <pic:blipFill>
                    <a:blip r:embed="rId43"/>
                    <a:stretch>
                      <a:fillRect/>
                    </a:stretch>
                  </pic:blipFill>
                  <pic:spPr>
                    <a:xfrm>
                      <a:off x="0" y="0"/>
                      <a:ext cx="961905" cy="323810"/>
                    </a:xfrm>
                    <a:prstGeom prst="rect">
                      <a:avLst/>
                    </a:prstGeom>
                  </pic:spPr>
                </pic:pic>
              </a:graphicData>
            </a:graphic>
          </wp:inline>
        </w:drawing>
      </w:r>
      <w:r>
        <w:rPr>
          <w:rFonts w:hint="eastAsia"/>
        </w:rPr>
        <w:t xml:space="preserve"> “新增条目”按钮（可新增多条明细），如下图。</w:t>
      </w:r>
    </w:p>
    <w:p w14:paraId="68958935">
      <w:pPr>
        <w:widowControl/>
        <w:jc w:val="left"/>
        <w:rPr>
          <w:rFonts w:ascii="宋体" w:hAnsi="宋体" w:cs="宋体"/>
          <w:kern w:val="0"/>
          <w:sz w:val="24"/>
        </w:rPr>
      </w:pPr>
    </w:p>
    <w:p w14:paraId="3E264C59">
      <w:pPr>
        <w:widowControl/>
        <w:jc w:val="center"/>
      </w:pPr>
      <w:r>
        <w:drawing>
          <wp:inline distT="0" distB="0" distL="114300" distR="114300">
            <wp:extent cx="5730875" cy="1971675"/>
            <wp:effectExtent l="0" t="0" r="9525" b="9525"/>
            <wp:docPr id="6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12"/>
                    <pic:cNvPicPr>
                      <a:picLocks noChangeAspect="1"/>
                    </pic:cNvPicPr>
                  </pic:nvPicPr>
                  <pic:blipFill>
                    <a:blip r:embed="rId44"/>
                    <a:stretch>
                      <a:fillRect/>
                    </a:stretch>
                  </pic:blipFill>
                  <pic:spPr>
                    <a:xfrm>
                      <a:off x="0" y="0"/>
                      <a:ext cx="5730875" cy="1971675"/>
                    </a:xfrm>
                    <a:prstGeom prst="rect">
                      <a:avLst/>
                    </a:prstGeom>
                    <a:noFill/>
                    <a:ln>
                      <a:noFill/>
                    </a:ln>
                  </pic:spPr>
                </pic:pic>
              </a:graphicData>
            </a:graphic>
          </wp:inline>
        </w:drawing>
      </w:r>
    </w:p>
    <w:p w14:paraId="00693623">
      <w:pPr>
        <w:widowControl/>
        <w:jc w:val="both"/>
        <w:rPr>
          <w:rFonts w:hint="eastAsia"/>
          <w:lang w:val="en-US" w:eastAsia="zh-CN"/>
        </w:rPr>
      </w:pPr>
      <w:r>
        <w:rPr>
          <w:rFonts w:hint="eastAsia"/>
          <w:lang w:val="en-US" w:eastAsia="zh-CN"/>
        </w:rPr>
        <w:t>挑选年度预算名称，如下图：</w:t>
      </w:r>
    </w:p>
    <w:p w14:paraId="68D659AD">
      <w:pPr>
        <w:widowControl/>
        <w:jc w:val="both"/>
      </w:pPr>
      <w:r>
        <w:drawing>
          <wp:inline distT="0" distB="0" distL="114300" distR="114300">
            <wp:extent cx="5727065" cy="2321560"/>
            <wp:effectExtent l="0" t="0" r="635" b="2540"/>
            <wp:docPr id="6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13"/>
                    <pic:cNvPicPr>
                      <a:picLocks noChangeAspect="1"/>
                    </pic:cNvPicPr>
                  </pic:nvPicPr>
                  <pic:blipFill>
                    <a:blip r:embed="rId45"/>
                    <a:stretch>
                      <a:fillRect/>
                    </a:stretch>
                  </pic:blipFill>
                  <pic:spPr>
                    <a:xfrm>
                      <a:off x="0" y="0"/>
                      <a:ext cx="5727065" cy="2321560"/>
                    </a:xfrm>
                    <a:prstGeom prst="rect">
                      <a:avLst/>
                    </a:prstGeom>
                    <a:noFill/>
                    <a:ln>
                      <a:noFill/>
                    </a:ln>
                  </pic:spPr>
                </pic:pic>
              </a:graphicData>
            </a:graphic>
          </wp:inline>
        </w:drawing>
      </w:r>
    </w:p>
    <w:p w14:paraId="6323CE94">
      <w:pPr>
        <w:widowControl/>
        <w:jc w:val="both"/>
        <w:rPr>
          <w:rFonts w:hint="default" w:eastAsia="宋体"/>
          <w:b/>
          <w:bCs/>
          <w:color w:val="FF0000"/>
          <w:lang w:val="en-US" w:eastAsia="zh-CN"/>
        </w:rPr>
      </w:pPr>
      <w:r>
        <w:rPr>
          <w:rFonts w:hint="eastAsia"/>
          <w:b/>
          <w:bCs/>
          <w:color w:val="FF0000"/>
          <w:lang w:val="en-US" w:eastAsia="zh-CN"/>
        </w:rPr>
        <w:t>预算总价不能大于可申报采购计划余额。可申报采购计划余额=普通采购意向公开截止时间已到+急需采购+电子卖场的预算总和。</w:t>
      </w:r>
    </w:p>
    <w:p w14:paraId="55785709">
      <w:pPr>
        <w:widowControl/>
        <w:jc w:val="left"/>
        <w:rPr>
          <w:rFonts w:hint="eastAsia" w:ascii="宋体" w:hAnsi="宋体" w:cs="宋体"/>
          <w:kern w:val="0"/>
          <w:szCs w:val="21"/>
        </w:rPr>
      </w:pPr>
      <w:r>
        <w:rPr>
          <w:rFonts w:hint="eastAsia" w:ascii="宋体" w:hAnsi="宋体" w:cs="宋体"/>
          <w:kern w:val="0"/>
          <w:szCs w:val="21"/>
        </w:rPr>
        <w:t>完善信息后，点击修改保存按钮后即可新增好一条采购分项。（如还需再次新增，请继续点击“新增条目”按钮）</w:t>
      </w:r>
    </w:p>
    <w:p w14:paraId="5189E538">
      <w:pPr>
        <w:widowControl/>
        <w:jc w:val="left"/>
        <w:rPr>
          <w:rFonts w:ascii="宋体" w:hAnsi="宋体" w:cs="宋体"/>
          <w:b/>
          <w:color w:val="FF0000"/>
          <w:kern w:val="0"/>
          <w:szCs w:val="21"/>
        </w:rPr>
      </w:pPr>
      <w:r>
        <w:rPr>
          <w:rFonts w:hint="eastAsia" w:ascii="宋体" w:hAnsi="宋体" w:cs="宋体"/>
          <w:b/>
          <w:color w:val="FF0000"/>
          <w:kern w:val="0"/>
          <w:szCs w:val="21"/>
        </w:rPr>
        <w:t>注：</w:t>
      </w:r>
      <w:r>
        <w:rPr>
          <w:rFonts w:hint="eastAsia" w:ascii="宋体" w:hAnsi="宋体" w:cs="宋体"/>
          <w:b/>
          <w:color w:val="FF0000"/>
          <w:kern w:val="0"/>
          <w:szCs w:val="21"/>
          <w:lang w:eastAsia="zh-CN"/>
        </w:rPr>
        <w:t>（</w:t>
      </w:r>
      <w:r>
        <w:rPr>
          <w:rFonts w:hint="eastAsia" w:ascii="宋体" w:hAnsi="宋体" w:cs="宋体"/>
          <w:b/>
          <w:color w:val="FF0000"/>
          <w:kern w:val="0"/>
          <w:szCs w:val="21"/>
        </w:rPr>
        <w:t>1）如果需要采购单一来源采购且预算金额达到了公开招标限额以上的，可以在此处新增单一来源公示！！！</w:t>
      </w:r>
    </w:p>
    <w:p w14:paraId="1109DCB8">
      <w:pPr>
        <w:widowControl/>
        <w:jc w:val="center"/>
        <w:rPr>
          <w:rFonts w:ascii="宋体" w:hAnsi="宋体" w:cs="宋体"/>
          <w:b/>
          <w:color w:val="FF0000"/>
          <w:kern w:val="0"/>
          <w:szCs w:val="21"/>
        </w:rPr>
      </w:pPr>
      <w:r>
        <w:drawing>
          <wp:inline distT="0" distB="0" distL="0" distR="0">
            <wp:extent cx="5772150" cy="831850"/>
            <wp:effectExtent l="0" t="0" r="0" b="0"/>
            <wp:docPr id="248" name="图片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图片 248"/>
                    <pic:cNvPicPr>
                      <a:picLocks noChangeAspect="1"/>
                    </pic:cNvPicPr>
                  </pic:nvPicPr>
                  <pic:blipFill>
                    <a:blip r:embed="rId46"/>
                    <a:stretch>
                      <a:fillRect/>
                    </a:stretch>
                  </pic:blipFill>
                  <pic:spPr>
                    <a:xfrm>
                      <a:off x="0" y="0"/>
                      <a:ext cx="5939045" cy="856079"/>
                    </a:xfrm>
                    <a:prstGeom prst="rect">
                      <a:avLst/>
                    </a:prstGeom>
                  </pic:spPr>
                </pic:pic>
              </a:graphicData>
            </a:graphic>
          </wp:inline>
        </w:drawing>
      </w:r>
    </w:p>
    <w:p w14:paraId="38685A66">
      <w:pPr>
        <w:rPr>
          <w:b/>
          <w:color w:val="FF0000"/>
        </w:rPr>
      </w:pPr>
      <w:r>
        <w:rPr>
          <w:rFonts w:hint="eastAsia"/>
          <w:b/>
          <w:color w:val="FF0000"/>
        </w:rPr>
        <w:t>2）已审核通过的采购计划如果有误，可联系主管预算单位退回该计划。主管预算单位在审核通过状态下，可点击</w:t>
      </w:r>
      <w:r>
        <w:rPr>
          <w:b/>
          <w:color w:val="FF0000"/>
        </w:rPr>
        <w:drawing>
          <wp:inline distT="0" distB="0" distL="0" distR="0">
            <wp:extent cx="1161415" cy="323215"/>
            <wp:effectExtent l="0" t="0" r="635" b="635"/>
            <wp:docPr id="253" name="图片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3" name="图片 253"/>
                    <pic:cNvPicPr>
                      <a:picLocks noChangeAspect="1"/>
                    </pic:cNvPicPr>
                  </pic:nvPicPr>
                  <pic:blipFill>
                    <a:blip r:embed="rId47"/>
                    <a:stretch>
                      <a:fillRect/>
                    </a:stretch>
                  </pic:blipFill>
                  <pic:spPr>
                    <a:xfrm>
                      <a:off x="0" y="0"/>
                      <a:ext cx="1161905" cy="323810"/>
                    </a:xfrm>
                    <a:prstGeom prst="rect">
                      <a:avLst/>
                    </a:prstGeom>
                  </pic:spPr>
                </pic:pic>
              </a:graphicData>
            </a:graphic>
          </wp:inline>
        </w:drawing>
      </w:r>
      <w:r>
        <w:rPr>
          <w:rFonts w:hint="eastAsia"/>
          <w:b/>
          <w:color w:val="FF0000"/>
        </w:rPr>
        <w:t>按钮，如下图所示：</w:t>
      </w:r>
    </w:p>
    <w:p w14:paraId="4D806F2C">
      <w:pPr>
        <w:jc w:val="center"/>
      </w:pPr>
      <w:r>
        <w:drawing>
          <wp:inline distT="0" distB="0" distL="0" distR="0">
            <wp:extent cx="5787390" cy="947420"/>
            <wp:effectExtent l="0" t="0" r="0" b="0"/>
            <wp:docPr id="251" name="图片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 name="图片 251"/>
                    <pic:cNvPicPr>
                      <a:picLocks noChangeAspect="1"/>
                    </pic:cNvPicPr>
                  </pic:nvPicPr>
                  <pic:blipFill>
                    <a:blip r:embed="rId48"/>
                    <a:stretch>
                      <a:fillRect/>
                    </a:stretch>
                  </pic:blipFill>
                  <pic:spPr>
                    <a:xfrm>
                      <a:off x="0" y="0"/>
                      <a:ext cx="5861331" cy="959928"/>
                    </a:xfrm>
                    <a:prstGeom prst="rect">
                      <a:avLst/>
                    </a:prstGeom>
                  </pic:spPr>
                </pic:pic>
              </a:graphicData>
            </a:graphic>
          </wp:inline>
        </w:drawing>
      </w:r>
    </w:p>
    <w:p w14:paraId="2CB9A68B">
      <w:pPr>
        <w:pStyle w:val="3"/>
      </w:pPr>
      <w:bookmarkStart w:id="13" w:name="_Toc15794"/>
      <w:r>
        <w:rPr>
          <w:rFonts w:hint="eastAsia"/>
        </w:rPr>
        <w:t>挑选组织形式</w:t>
      </w:r>
      <w:bookmarkEnd w:id="13"/>
    </w:p>
    <w:p w14:paraId="595544E9">
      <w:r>
        <w:rPr>
          <w:rFonts w:hint="eastAsia"/>
          <w:b/>
        </w:rPr>
        <w:t>主管预算单位</w:t>
      </w:r>
      <w:r>
        <w:rPr>
          <w:rFonts w:hint="eastAsia"/>
        </w:rPr>
        <w:t>可在挑选组织形式页面上，挑选采购项目的组织形式（集中、部门、分散、集中-协议采购）；</w:t>
      </w:r>
      <w:r>
        <w:rPr>
          <w:rFonts w:hint="eastAsia"/>
          <w:b/>
        </w:rPr>
        <w:t>下级预算单位</w:t>
      </w:r>
      <w:r>
        <w:rPr>
          <w:rFonts w:hint="eastAsia"/>
        </w:rPr>
        <w:t>只能查看自己所报的采购项目的组织形式，无法操作。</w:t>
      </w:r>
    </w:p>
    <w:p w14:paraId="20C18429">
      <w:pPr>
        <w:jc w:val="center"/>
      </w:pPr>
      <w:r>
        <w:drawing>
          <wp:inline distT="0" distB="0" distL="0" distR="0">
            <wp:extent cx="5962650" cy="1291590"/>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49"/>
                    <a:stretch>
                      <a:fillRect/>
                    </a:stretch>
                  </pic:blipFill>
                  <pic:spPr>
                    <a:xfrm>
                      <a:off x="0" y="0"/>
                      <a:ext cx="6020772" cy="1304266"/>
                    </a:xfrm>
                    <a:prstGeom prst="rect">
                      <a:avLst/>
                    </a:prstGeom>
                  </pic:spPr>
                </pic:pic>
              </a:graphicData>
            </a:graphic>
          </wp:inline>
        </w:drawing>
      </w:r>
    </w:p>
    <w:p w14:paraId="371C8971">
      <w:r>
        <w:rPr>
          <w:rFonts w:hint="eastAsia"/>
        </w:rPr>
        <w:t>勾选到需要确定组织形式的项目之后，点击左上角的“确定选择”按钮，主管预算单位可根据实际情况选择采购项目的组织形式，如下图所示：</w:t>
      </w:r>
    </w:p>
    <w:p w14:paraId="5A8F24F0">
      <w:pPr>
        <w:jc w:val="center"/>
      </w:pPr>
      <w:r>
        <w:drawing>
          <wp:inline distT="0" distB="0" distL="0" distR="0">
            <wp:extent cx="5580380" cy="2416810"/>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50"/>
                    <a:stretch>
                      <a:fillRect/>
                    </a:stretch>
                  </pic:blipFill>
                  <pic:spPr>
                    <a:xfrm>
                      <a:off x="0" y="0"/>
                      <a:ext cx="5605710" cy="2427844"/>
                    </a:xfrm>
                    <a:prstGeom prst="rect">
                      <a:avLst/>
                    </a:prstGeom>
                  </pic:spPr>
                </pic:pic>
              </a:graphicData>
            </a:graphic>
          </wp:inline>
        </w:drawing>
      </w:r>
    </w:p>
    <w:p w14:paraId="5EE6F540">
      <w:pPr>
        <w:widowControl/>
        <w:jc w:val="left"/>
        <w:rPr>
          <w:rFonts w:ascii="宋体" w:hAnsi="宋体" w:cs="宋体"/>
          <w:b/>
          <w:color w:val="FF0000"/>
          <w:kern w:val="0"/>
          <w:sz w:val="24"/>
        </w:rPr>
      </w:pPr>
      <w:r>
        <w:rPr>
          <w:rFonts w:hint="eastAsia" w:ascii="宋体" w:hAnsi="宋体" w:cs="宋体"/>
          <w:b/>
          <w:color w:val="FF0000"/>
          <w:kern w:val="0"/>
          <w:sz w:val="24"/>
        </w:rPr>
        <w:t>（</w:t>
      </w:r>
      <w:bookmarkStart w:id="14" w:name="OLE_LINK1"/>
      <w:r>
        <w:rPr>
          <w:rFonts w:hint="eastAsia" w:ascii="宋体" w:hAnsi="宋体" w:cs="宋体"/>
          <w:b/>
          <w:color w:val="FF0000"/>
          <w:kern w:val="0"/>
          <w:sz w:val="24"/>
        </w:rPr>
        <w:t>仅限于系统里的流程控制，业务上指定何种组织形式请参照《政府采购品目分类目录》和采购法</w:t>
      </w:r>
      <w:bookmarkEnd w:id="14"/>
      <w:r>
        <w:rPr>
          <w:rFonts w:hint="eastAsia" w:ascii="宋体" w:hAnsi="宋体" w:cs="宋体"/>
          <w:b/>
          <w:color w:val="FF0000"/>
          <w:kern w:val="0"/>
          <w:sz w:val="24"/>
        </w:rPr>
        <w:t>）</w:t>
      </w:r>
    </w:p>
    <w:p w14:paraId="71C3E3ED">
      <w:pPr>
        <w:widowControl/>
        <w:ind w:firstLine="210" w:firstLineChars="100"/>
        <w:jc w:val="left"/>
        <w:rPr>
          <w:rFonts w:ascii="宋体" w:hAnsi="宋体" w:cs="宋体"/>
          <w:color w:val="FF0000"/>
          <w:kern w:val="0"/>
          <w:szCs w:val="21"/>
        </w:rPr>
      </w:pPr>
      <w:r>
        <w:rPr>
          <w:rFonts w:hint="eastAsia" w:ascii="宋体" w:hAnsi="宋体" w:cs="宋体"/>
          <w:color w:val="FF0000"/>
          <w:kern w:val="0"/>
          <w:szCs w:val="21"/>
        </w:rPr>
        <w:t>组织形式分为：集中、部门、分散、集中-协议采购。</w:t>
      </w:r>
    </w:p>
    <w:p w14:paraId="6D5D78F4">
      <w:pPr>
        <w:widowControl/>
        <w:ind w:firstLine="210"/>
        <w:jc w:val="left"/>
        <w:rPr>
          <w:rFonts w:ascii="宋体" w:hAnsi="宋体" w:cs="宋体"/>
          <w:color w:val="FF0000"/>
          <w:kern w:val="0"/>
          <w:sz w:val="24"/>
        </w:rPr>
      </w:pPr>
      <w:r>
        <w:rPr>
          <w:rFonts w:hint="eastAsia" w:ascii="宋体" w:hAnsi="宋体" w:cs="宋体"/>
          <w:color w:val="FF0000"/>
          <w:kern w:val="0"/>
          <w:sz w:val="24"/>
        </w:rPr>
        <w:t>采购机构为：集中机构采购机构、社会代理机构采购、自行采购。</w:t>
      </w:r>
    </w:p>
    <w:p w14:paraId="07F6B134">
      <w:pPr>
        <w:widowControl/>
        <w:ind w:left="210" w:leftChars="100"/>
        <w:jc w:val="left"/>
        <w:rPr>
          <w:rFonts w:ascii="宋体" w:hAnsi="宋体" w:cs="宋体"/>
          <w:color w:val="FF0000"/>
          <w:kern w:val="0"/>
          <w:sz w:val="24"/>
        </w:rPr>
      </w:pPr>
      <w:r>
        <w:rPr>
          <w:rFonts w:hint="eastAsia" w:ascii="宋体" w:hAnsi="宋体" w:cs="宋体"/>
          <w:color w:val="FF0000"/>
          <w:kern w:val="0"/>
          <w:sz w:val="24"/>
        </w:rPr>
        <w:t>采购方式为：公开招标、竞争性谈判、邀请招标、询价、单一来源、竞争性磋商、公开招标转竞争性谈判、公开招标转邀请招标、公开招标转询价、公开招标转单一来源。</w:t>
      </w:r>
    </w:p>
    <w:p w14:paraId="40F9650E">
      <w:pPr>
        <w:widowControl/>
        <w:ind w:firstLine="210" w:firstLineChars="100"/>
        <w:jc w:val="left"/>
        <w:rPr>
          <w:rFonts w:ascii="宋体" w:hAnsi="宋体" w:cs="宋体"/>
          <w:color w:val="FF0000"/>
          <w:kern w:val="0"/>
          <w:szCs w:val="21"/>
        </w:rPr>
      </w:pPr>
      <w:r>
        <w:rPr>
          <w:rFonts w:hint="eastAsia" w:ascii="宋体" w:hAnsi="宋体" w:cs="宋体"/>
          <w:color w:val="FF0000"/>
          <w:kern w:val="0"/>
          <w:szCs w:val="21"/>
        </w:rPr>
        <w:t>选择了项目的组织形式之后，可点击左上角的“确定组织形式”按钮</w:t>
      </w:r>
      <w:r>
        <w:rPr>
          <w:szCs w:val="21"/>
        </w:rPr>
        <w:drawing>
          <wp:inline distT="0" distB="0" distL="0" distR="0">
            <wp:extent cx="1266190" cy="332740"/>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51"/>
                    <a:stretch>
                      <a:fillRect/>
                    </a:stretch>
                  </pic:blipFill>
                  <pic:spPr>
                    <a:xfrm>
                      <a:off x="0" y="0"/>
                      <a:ext cx="1266667" cy="333333"/>
                    </a:xfrm>
                    <a:prstGeom prst="rect">
                      <a:avLst/>
                    </a:prstGeom>
                  </pic:spPr>
                </pic:pic>
              </a:graphicData>
            </a:graphic>
          </wp:inline>
        </w:drawing>
      </w:r>
      <w:r>
        <w:rPr>
          <w:rFonts w:hint="eastAsia" w:ascii="宋体" w:hAnsi="宋体" w:cs="宋体"/>
          <w:color w:val="FF0000"/>
          <w:kern w:val="0"/>
          <w:szCs w:val="21"/>
        </w:rPr>
        <w:t>。如需撤销该操作，可在该页面中的已组建中，点击“撤销”按钮</w:t>
      </w:r>
      <w:r>
        <w:rPr>
          <w:szCs w:val="21"/>
        </w:rPr>
        <w:drawing>
          <wp:inline distT="0" distB="0" distL="0" distR="0">
            <wp:extent cx="694690" cy="33274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52"/>
                    <a:stretch>
                      <a:fillRect/>
                    </a:stretch>
                  </pic:blipFill>
                  <pic:spPr>
                    <a:xfrm>
                      <a:off x="0" y="0"/>
                      <a:ext cx="695238" cy="333333"/>
                    </a:xfrm>
                    <a:prstGeom prst="rect">
                      <a:avLst/>
                    </a:prstGeom>
                  </pic:spPr>
                </pic:pic>
              </a:graphicData>
            </a:graphic>
          </wp:inline>
        </w:drawing>
      </w:r>
      <w:r>
        <w:rPr>
          <w:rFonts w:hint="eastAsia" w:ascii="宋体" w:hAnsi="宋体" w:cs="宋体"/>
          <w:color w:val="FF0000"/>
          <w:kern w:val="0"/>
          <w:szCs w:val="21"/>
        </w:rPr>
        <w:t>，可完成撤销操作。</w:t>
      </w:r>
    </w:p>
    <w:p w14:paraId="2DB6D9C6">
      <w:pPr>
        <w:widowControl/>
        <w:ind w:firstLine="211" w:firstLineChars="100"/>
        <w:jc w:val="left"/>
        <w:rPr>
          <w:rFonts w:ascii="宋体" w:hAnsi="宋体" w:cs="宋体"/>
          <w:b/>
          <w:kern w:val="0"/>
          <w:szCs w:val="21"/>
        </w:rPr>
      </w:pPr>
      <w:r>
        <w:rPr>
          <w:rFonts w:hint="eastAsia" w:ascii="宋体" w:hAnsi="宋体" w:cs="宋体"/>
          <w:b/>
          <w:kern w:val="0"/>
          <w:szCs w:val="21"/>
        </w:rPr>
        <w:t>注：</w:t>
      </w:r>
    </w:p>
    <w:p w14:paraId="34F5D1D2">
      <w:pPr>
        <w:pStyle w:val="46"/>
        <w:widowControl/>
        <w:numPr>
          <w:ilvl w:val="0"/>
          <w:numId w:val="3"/>
        </w:numPr>
        <w:ind w:firstLineChars="0"/>
        <w:jc w:val="left"/>
        <w:rPr>
          <w:rFonts w:ascii="宋体" w:hAnsi="宋体" w:cs="宋体"/>
          <w:b/>
          <w:kern w:val="0"/>
          <w:szCs w:val="21"/>
        </w:rPr>
      </w:pPr>
      <w:r>
        <w:rPr>
          <w:rFonts w:hint="eastAsia" w:ascii="宋体" w:hAnsi="宋体" w:cs="宋体"/>
          <w:b/>
          <w:kern w:val="0"/>
          <w:szCs w:val="21"/>
        </w:rPr>
        <w:t>组织形式为集中的项目，主管预算单位需在接下来的“指定集采中心”菜单中，指定一家集采中心代理，并由集采中心代理在自己的业务系统模块中，完成之后的“集采中心确定采购方式”、“组建分包”等后续流程；</w:t>
      </w:r>
    </w:p>
    <w:p w14:paraId="29D6A966">
      <w:pPr>
        <w:pStyle w:val="46"/>
        <w:widowControl/>
        <w:numPr>
          <w:ilvl w:val="0"/>
          <w:numId w:val="3"/>
        </w:numPr>
        <w:ind w:firstLineChars="0"/>
        <w:jc w:val="left"/>
        <w:rPr>
          <w:rFonts w:ascii="宋体" w:hAnsi="宋体" w:cs="宋体"/>
          <w:b/>
          <w:kern w:val="0"/>
          <w:szCs w:val="21"/>
        </w:rPr>
      </w:pPr>
      <w:r>
        <w:rPr>
          <w:rFonts w:hint="eastAsia" w:ascii="宋体" w:hAnsi="宋体" w:cs="宋体"/>
          <w:b/>
          <w:kern w:val="0"/>
          <w:szCs w:val="21"/>
        </w:rPr>
        <w:t>组织形式为部门的项目，主管预算单位需在“选择采购机构和采购方式”菜单中，选择项目的采购机构（有社会代理机构采购和自行采购两种）以及项目的采购方式（公开招标、竞争性谈判、邀请招标、询价、单一来源、竞争性磋商等），并且后续流程都由主管预算单位完成审核；</w:t>
      </w:r>
    </w:p>
    <w:p w14:paraId="490101C5">
      <w:pPr>
        <w:pStyle w:val="46"/>
        <w:widowControl/>
        <w:numPr>
          <w:ilvl w:val="0"/>
          <w:numId w:val="3"/>
        </w:numPr>
        <w:ind w:firstLineChars="0"/>
        <w:jc w:val="left"/>
        <w:rPr>
          <w:rFonts w:ascii="宋体" w:hAnsi="宋体" w:cs="宋体"/>
          <w:b/>
          <w:kern w:val="0"/>
          <w:szCs w:val="21"/>
        </w:rPr>
      </w:pPr>
      <w:r>
        <w:rPr>
          <w:rFonts w:hint="eastAsia" w:ascii="宋体" w:hAnsi="宋体" w:cs="宋体"/>
          <w:b/>
          <w:kern w:val="0"/>
          <w:szCs w:val="21"/>
        </w:rPr>
        <w:t>组织形式为分散的项目，预算单位需在“选择采购机构和采购方式”菜单中，选择项目的采购机构（有社会代理机构采购和自行采购两种）以及项目的采购方式（公开招标、竞争性谈判、邀请招标、询价、单一来源、竞争性磋商等），并且后续流程都由预算单位完成审核；</w:t>
      </w:r>
    </w:p>
    <w:p w14:paraId="7C4FB72E">
      <w:pPr>
        <w:pStyle w:val="46"/>
        <w:widowControl/>
        <w:numPr>
          <w:ilvl w:val="0"/>
          <w:numId w:val="3"/>
        </w:numPr>
        <w:ind w:firstLineChars="0"/>
        <w:jc w:val="left"/>
        <w:rPr>
          <w:rFonts w:ascii="宋体" w:hAnsi="宋体" w:cs="宋体"/>
          <w:b/>
          <w:kern w:val="0"/>
          <w:szCs w:val="21"/>
        </w:rPr>
      </w:pPr>
      <w:r>
        <w:rPr>
          <w:rFonts w:hint="eastAsia" w:ascii="宋体" w:hAnsi="宋体" w:cs="宋体"/>
          <w:b/>
          <w:kern w:val="0"/>
          <w:szCs w:val="21"/>
        </w:rPr>
        <w:t>组织形式为集中-协议的项目，预算单位在“协议采购</w:t>
      </w:r>
      <w:r>
        <w:rPr>
          <w:rFonts w:ascii="宋体" w:hAnsi="宋体" w:cs="宋体"/>
          <w:b/>
          <w:kern w:val="0"/>
          <w:szCs w:val="21"/>
        </w:rPr>
        <w:t>—</w:t>
      </w:r>
      <w:r>
        <w:rPr>
          <w:rFonts w:hint="eastAsia" w:ascii="宋体" w:hAnsi="宋体" w:cs="宋体"/>
          <w:b/>
          <w:kern w:val="0"/>
          <w:szCs w:val="21"/>
        </w:rPr>
        <w:t>挑选协议商品”菜单中，进行后续流程操作。</w:t>
      </w:r>
    </w:p>
    <w:p w14:paraId="11CB203C">
      <w:pPr>
        <w:pStyle w:val="46"/>
        <w:numPr>
          <w:ilvl w:val="0"/>
          <w:numId w:val="3"/>
        </w:numPr>
        <w:ind w:firstLineChars="0"/>
        <w:rPr>
          <w:rFonts w:ascii="宋体" w:hAnsi="宋体" w:cs="宋体"/>
          <w:b/>
          <w:kern w:val="0"/>
          <w:szCs w:val="21"/>
        </w:rPr>
      </w:pPr>
      <w:r>
        <w:rPr>
          <w:rFonts w:hint="eastAsia" w:ascii="宋体" w:hAnsi="宋体" w:cs="宋体"/>
          <w:b/>
          <w:kern w:val="0"/>
          <w:szCs w:val="21"/>
        </w:rPr>
        <w:t>组织形式一旦确定后，采购项目的项目编号会自动生成。集中的项目的项目编号用字母“J”表示，部门的项目的项目编号用字母“B”表示，分散的项目的项目编号用字母“F”表示，集中-协议的项目的项目编号用字母“X”表示。请预算单位、主管预算单位仔细核实，确保无误准确。</w:t>
      </w:r>
    </w:p>
    <w:p w14:paraId="2616B3C4">
      <w:pPr>
        <w:pStyle w:val="3"/>
      </w:pPr>
      <w:bookmarkStart w:id="15" w:name="_Toc28431"/>
      <w:r>
        <w:rPr>
          <w:rFonts w:hint="eastAsia"/>
        </w:rPr>
        <w:t>指定集采中心</w:t>
      </w:r>
      <w:bookmarkEnd w:id="15"/>
    </w:p>
    <w:p w14:paraId="3490A93F">
      <w:pPr>
        <w:widowControl/>
        <w:jc w:val="left"/>
        <w:rPr>
          <w:rFonts w:ascii="宋体" w:hAnsi="宋体" w:cs="宋体"/>
          <w:kern w:val="0"/>
          <w:szCs w:val="21"/>
        </w:rPr>
      </w:pPr>
      <w:r>
        <w:rPr>
          <w:rFonts w:hint="eastAsia" w:ascii="宋体" w:hAnsi="宋体" w:cs="宋体"/>
          <w:kern w:val="0"/>
          <w:szCs w:val="21"/>
        </w:rPr>
        <w:t>组织形式为集中的项目，主管预算单位需在接下来的“指定集采中心”菜单中，指定一家集采中心代理，并由集采中心代理在自己的业务系统模块中，完成之后的“集采中心确定采购方式”、“组建分包”等后续流程；如下图：</w:t>
      </w:r>
    </w:p>
    <w:p w14:paraId="5C30C416">
      <w:pPr>
        <w:widowControl/>
        <w:jc w:val="center"/>
        <w:rPr>
          <w:rFonts w:ascii="宋体" w:hAnsi="宋体" w:cs="宋体"/>
          <w:color w:val="FF0000"/>
          <w:kern w:val="0"/>
          <w:sz w:val="24"/>
        </w:rPr>
      </w:pPr>
      <w:r>
        <w:drawing>
          <wp:inline distT="0" distB="0" distL="0" distR="0">
            <wp:extent cx="5758180" cy="1099820"/>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53"/>
                    <a:stretch>
                      <a:fillRect/>
                    </a:stretch>
                  </pic:blipFill>
                  <pic:spPr>
                    <a:xfrm>
                      <a:off x="0" y="0"/>
                      <a:ext cx="5840012" cy="1115597"/>
                    </a:xfrm>
                    <a:prstGeom prst="rect">
                      <a:avLst/>
                    </a:prstGeom>
                  </pic:spPr>
                </pic:pic>
              </a:graphicData>
            </a:graphic>
          </wp:inline>
        </w:drawing>
      </w:r>
    </w:p>
    <w:p w14:paraId="7A867CB9">
      <w:pPr>
        <w:widowControl/>
        <w:rPr>
          <w:rFonts w:ascii="宋体" w:hAnsi="宋体" w:cs="宋体"/>
          <w:kern w:val="0"/>
          <w:szCs w:val="21"/>
        </w:rPr>
      </w:pPr>
      <w:r>
        <w:rPr>
          <w:rFonts w:ascii="宋体" w:hAnsi="宋体" w:cs="宋体"/>
          <w:kern w:val="0"/>
          <w:szCs w:val="21"/>
        </w:rPr>
        <w:t>勾选到需要指定集中采购代理机构的项目</w:t>
      </w:r>
      <w:r>
        <w:rPr>
          <w:rFonts w:hint="eastAsia" w:ascii="宋体" w:hAnsi="宋体" w:cs="宋体"/>
          <w:kern w:val="0"/>
          <w:szCs w:val="21"/>
        </w:rPr>
        <w:t>（可以多选），主管预算单位</w:t>
      </w:r>
      <w:r>
        <w:rPr>
          <w:rFonts w:ascii="宋体" w:hAnsi="宋体" w:cs="宋体"/>
          <w:kern w:val="0"/>
          <w:szCs w:val="21"/>
        </w:rPr>
        <w:t>可以单个指定</w:t>
      </w:r>
      <w:r>
        <w:drawing>
          <wp:inline distT="0" distB="0" distL="0" distR="0">
            <wp:extent cx="801370" cy="485775"/>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54"/>
                    <a:stretch>
                      <a:fillRect/>
                    </a:stretch>
                  </pic:blipFill>
                  <pic:spPr>
                    <a:xfrm>
                      <a:off x="0" y="0"/>
                      <a:ext cx="801814" cy="485714"/>
                    </a:xfrm>
                    <a:prstGeom prst="rect">
                      <a:avLst/>
                    </a:prstGeom>
                  </pic:spPr>
                </pic:pic>
              </a:graphicData>
            </a:graphic>
          </wp:inline>
        </w:drawing>
      </w:r>
      <w:r>
        <w:rPr>
          <w:rFonts w:ascii="宋体" w:hAnsi="宋体" w:cs="宋体"/>
          <w:kern w:val="0"/>
          <w:szCs w:val="21"/>
        </w:rPr>
        <w:t>或者批量指定</w:t>
      </w:r>
      <w:r>
        <w:drawing>
          <wp:inline distT="0" distB="0" distL="0" distR="0">
            <wp:extent cx="1028065" cy="323215"/>
            <wp:effectExtent l="0" t="0" r="635" b="635"/>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55"/>
                    <a:stretch>
                      <a:fillRect/>
                    </a:stretch>
                  </pic:blipFill>
                  <pic:spPr>
                    <a:xfrm>
                      <a:off x="0" y="0"/>
                      <a:ext cx="1028571" cy="323810"/>
                    </a:xfrm>
                    <a:prstGeom prst="rect">
                      <a:avLst/>
                    </a:prstGeom>
                  </pic:spPr>
                </pic:pic>
              </a:graphicData>
            </a:graphic>
          </wp:inline>
        </w:drawing>
      </w:r>
      <w:r>
        <w:rPr>
          <w:rFonts w:hint="eastAsia" w:ascii="宋体" w:hAnsi="宋体" w:cs="宋体"/>
          <w:kern w:val="0"/>
          <w:szCs w:val="21"/>
        </w:rPr>
        <w:t>，</w:t>
      </w:r>
      <w:r>
        <w:rPr>
          <w:rFonts w:ascii="宋体" w:hAnsi="宋体" w:cs="宋体"/>
          <w:kern w:val="0"/>
          <w:szCs w:val="21"/>
        </w:rPr>
        <w:t>指定本辖区内的一家集采中心代理机构</w:t>
      </w:r>
      <w:r>
        <w:rPr>
          <w:rFonts w:hint="eastAsia" w:ascii="宋体" w:hAnsi="宋体" w:cs="宋体"/>
          <w:kern w:val="0"/>
          <w:szCs w:val="21"/>
        </w:rPr>
        <w:t>。</w:t>
      </w:r>
    </w:p>
    <w:p w14:paraId="5C2ABD26">
      <w:pPr>
        <w:widowControl/>
        <w:rPr>
          <w:rFonts w:ascii="宋体" w:hAnsi="宋体" w:cs="宋体"/>
          <w:kern w:val="0"/>
          <w:szCs w:val="21"/>
        </w:rPr>
      </w:pPr>
      <w:r>
        <w:rPr>
          <w:rFonts w:hint="eastAsia" w:ascii="宋体" w:hAnsi="宋体" w:cs="宋体"/>
          <w:kern w:val="0"/>
          <w:szCs w:val="21"/>
        </w:rPr>
        <w:t>注：如需撤销集采中心的指定操作，可由主管预算单位在该页面的已指定状态下，撤销该操作。如下图所示：</w:t>
      </w:r>
    </w:p>
    <w:p w14:paraId="5030D035">
      <w:pPr>
        <w:widowControl/>
        <w:jc w:val="center"/>
        <w:rPr>
          <w:rFonts w:ascii="宋体" w:hAnsi="宋体" w:cs="宋体"/>
          <w:kern w:val="0"/>
          <w:szCs w:val="21"/>
        </w:rPr>
      </w:pPr>
      <w:r>
        <w:drawing>
          <wp:inline distT="0" distB="0" distL="0" distR="0">
            <wp:extent cx="5866130" cy="114300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56"/>
                    <a:stretch>
                      <a:fillRect/>
                    </a:stretch>
                  </pic:blipFill>
                  <pic:spPr>
                    <a:xfrm>
                      <a:off x="0" y="0"/>
                      <a:ext cx="5917625" cy="1153300"/>
                    </a:xfrm>
                    <a:prstGeom prst="rect">
                      <a:avLst/>
                    </a:prstGeom>
                  </pic:spPr>
                </pic:pic>
              </a:graphicData>
            </a:graphic>
          </wp:inline>
        </w:drawing>
      </w:r>
    </w:p>
    <w:p w14:paraId="662D90E5">
      <w:pPr>
        <w:pStyle w:val="3"/>
        <w:rPr>
          <w:rFonts w:ascii="宋体" w:hAnsi="宋体" w:cs="宋体"/>
          <w:kern w:val="0"/>
          <w:szCs w:val="30"/>
        </w:rPr>
      </w:pPr>
      <w:bookmarkStart w:id="16" w:name="_Toc12887"/>
      <w:r>
        <w:rPr>
          <w:rFonts w:ascii="宋体" w:hAnsi="宋体" w:cs="宋体"/>
          <w:kern w:val="0"/>
          <w:szCs w:val="30"/>
        </w:rPr>
        <w:t>选择采购机构和采购方式</w:t>
      </w:r>
      <w:bookmarkEnd w:id="16"/>
    </w:p>
    <w:p w14:paraId="10C8E3C7">
      <w:pPr>
        <w:jc w:val="left"/>
        <w:rPr>
          <w:rFonts w:ascii="宋体" w:hAnsi="宋体" w:cs="宋体"/>
          <w:kern w:val="0"/>
          <w:szCs w:val="21"/>
        </w:rPr>
      </w:pPr>
      <w:r>
        <w:rPr>
          <w:rFonts w:hint="eastAsia" w:ascii="宋体" w:hAnsi="宋体" w:cs="宋体"/>
          <w:kern w:val="0"/>
          <w:szCs w:val="21"/>
        </w:rPr>
        <w:t>1）组织形式为</w:t>
      </w:r>
      <w:r>
        <w:rPr>
          <w:rFonts w:hint="eastAsia" w:ascii="宋体" w:hAnsi="宋体" w:cs="宋体"/>
          <w:b/>
          <w:kern w:val="0"/>
          <w:szCs w:val="21"/>
        </w:rPr>
        <w:t>部门</w:t>
      </w:r>
      <w:r>
        <w:rPr>
          <w:rFonts w:hint="eastAsia" w:ascii="宋体" w:hAnsi="宋体" w:cs="宋体"/>
          <w:kern w:val="0"/>
          <w:szCs w:val="21"/>
        </w:rPr>
        <w:t>的项目，</w:t>
      </w:r>
      <w:r>
        <w:rPr>
          <w:rFonts w:hint="eastAsia" w:ascii="宋体" w:hAnsi="宋体" w:cs="宋体"/>
          <w:b/>
          <w:kern w:val="0"/>
          <w:szCs w:val="21"/>
        </w:rPr>
        <w:t>主管预算单位</w:t>
      </w:r>
      <w:r>
        <w:rPr>
          <w:rFonts w:hint="eastAsia" w:ascii="宋体" w:hAnsi="宋体" w:cs="宋体"/>
          <w:kern w:val="0"/>
          <w:szCs w:val="21"/>
        </w:rPr>
        <w:t>需在“选择采购机构和采购方式”菜单中，选择项目的采购机构（有社会代理机构采购和自行采购两种）以及项目的采购方式（公开招标、竞争性谈判、邀请招标、询价、单一来源、竞争性磋商等），并且后续流程都由</w:t>
      </w:r>
      <w:r>
        <w:rPr>
          <w:rFonts w:hint="eastAsia" w:ascii="宋体" w:hAnsi="宋体" w:cs="宋体"/>
          <w:b/>
          <w:kern w:val="0"/>
          <w:szCs w:val="21"/>
        </w:rPr>
        <w:t>主管预算单位</w:t>
      </w:r>
      <w:r>
        <w:rPr>
          <w:rFonts w:hint="eastAsia" w:ascii="宋体" w:hAnsi="宋体" w:cs="宋体"/>
          <w:kern w:val="0"/>
          <w:szCs w:val="21"/>
        </w:rPr>
        <w:t>完成审核；</w:t>
      </w:r>
    </w:p>
    <w:p w14:paraId="277CEC1F">
      <w:pPr>
        <w:jc w:val="left"/>
        <w:rPr>
          <w:rFonts w:ascii="宋体" w:hAnsi="宋体" w:cs="宋体"/>
          <w:kern w:val="0"/>
          <w:szCs w:val="21"/>
        </w:rPr>
      </w:pPr>
      <w:r>
        <w:rPr>
          <w:rFonts w:hint="eastAsia" w:ascii="宋体" w:hAnsi="宋体" w:cs="宋体"/>
          <w:kern w:val="0"/>
          <w:szCs w:val="21"/>
        </w:rPr>
        <w:t>2）组织形式为</w:t>
      </w:r>
      <w:r>
        <w:rPr>
          <w:rFonts w:hint="eastAsia" w:ascii="宋体" w:hAnsi="宋体" w:cs="宋体"/>
          <w:b/>
          <w:kern w:val="0"/>
          <w:szCs w:val="21"/>
        </w:rPr>
        <w:t>分散</w:t>
      </w:r>
      <w:r>
        <w:rPr>
          <w:rFonts w:hint="eastAsia" w:ascii="宋体" w:hAnsi="宋体" w:cs="宋体"/>
          <w:kern w:val="0"/>
          <w:szCs w:val="21"/>
        </w:rPr>
        <w:t>的项目，</w:t>
      </w:r>
      <w:r>
        <w:rPr>
          <w:rFonts w:hint="eastAsia" w:ascii="宋体" w:hAnsi="宋体" w:cs="宋体"/>
          <w:b/>
          <w:kern w:val="0"/>
          <w:szCs w:val="21"/>
        </w:rPr>
        <w:t>预算单位</w:t>
      </w:r>
      <w:r>
        <w:rPr>
          <w:rFonts w:hint="eastAsia" w:ascii="宋体" w:hAnsi="宋体" w:cs="宋体"/>
          <w:kern w:val="0"/>
          <w:szCs w:val="21"/>
        </w:rPr>
        <w:t>需在“选择采购机构和采购方式”菜单中，选择项目的采购机构（有社会代理机构采购和自行采购两种）以及项目的采购方式（公开招标、竞争性谈判、邀请招标、询价、单一来源、竞争性磋商等），并且后续流程都由</w:t>
      </w:r>
      <w:r>
        <w:rPr>
          <w:rFonts w:hint="eastAsia" w:ascii="宋体" w:hAnsi="宋体" w:cs="宋体"/>
          <w:b/>
          <w:kern w:val="0"/>
          <w:szCs w:val="21"/>
        </w:rPr>
        <w:t>预算单位</w:t>
      </w:r>
      <w:r>
        <w:rPr>
          <w:rFonts w:hint="eastAsia" w:ascii="宋体" w:hAnsi="宋体" w:cs="宋体"/>
          <w:kern w:val="0"/>
          <w:szCs w:val="21"/>
        </w:rPr>
        <w:t>完成审核；</w:t>
      </w:r>
    </w:p>
    <w:p w14:paraId="5C76895A">
      <w:pPr>
        <w:jc w:val="left"/>
        <w:rPr>
          <w:rFonts w:ascii="宋体" w:hAnsi="宋体" w:cs="宋体"/>
          <w:kern w:val="0"/>
          <w:szCs w:val="21"/>
        </w:rPr>
      </w:pPr>
      <w:r>
        <w:rPr>
          <w:rFonts w:hint="eastAsia" w:ascii="宋体" w:hAnsi="宋体" w:cs="宋体"/>
          <w:kern w:val="0"/>
          <w:szCs w:val="21"/>
        </w:rPr>
        <w:t>如下图所示：</w:t>
      </w:r>
    </w:p>
    <w:p w14:paraId="16393D5C">
      <w:pPr>
        <w:jc w:val="center"/>
        <w:rPr>
          <w:szCs w:val="21"/>
        </w:rPr>
      </w:pPr>
      <w:r>
        <w:drawing>
          <wp:inline distT="0" distB="0" distL="0" distR="0">
            <wp:extent cx="5848350" cy="1093470"/>
            <wp:effectExtent l="0" t="0" r="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57"/>
                    <a:stretch>
                      <a:fillRect/>
                    </a:stretch>
                  </pic:blipFill>
                  <pic:spPr>
                    <a:xfrm>
                      <a:off x="0" y="0"/>
                      <a:ext cx="5862213" cy="1096334"/>
                    </a:xfrm>
                    <a:prstGeom prst="rect">
                      <a:avLst/>
                    </a:prstGeom>
                  </pic:spPr>
                </pic:pic>
              </a:graphicData>
            </a:graphic>
          </wp:inline>
        </w:drawing>
      </w:r>
    </w:p>
    <w:p w14:paraId="00C3B88B">
      <w:pPr>
        <w:rPr>
          <w:rFonts w:ascii="宋体" w:hAnsi="宋体" w:cs="宋体"/>
          <w:kern w:val="0"/>
          <w:szCs w:val="21"/>
        </w:rPr>
      </w:pPr>
      <w:r>
        <w:rPr>
          <w:rFonts w:hint="eastAsia" w:ascii="宋体" w:hAnsi="宋体" w:cs="宋体"/>
          <w:kern w:val="0"/>
          <w:szCs w:val="21"/>
        </w:rPr>
        <w:t>注：如需撤销部门或者分散采购项目的采购机构和采购方式操作，需要分别由主管预算单位或者下级预算单位在该页面的已确定状态下，点击撤销按钮。</w:t>
      </w:r>
    </w:p>
    <w:p w14:paraId="614135CF">
      <w:pPr>
        <w:jc w:val="center"/>
        <w:rPr>
          <w:szCs w:val="21"/>
        </w:rPr>
      </w:pPr>
      <w:r>
        <w:drawing>
          <wp:inline distT="0" distB="0" distL="0" distR="0">
            <wp:extent cx="6216015" cy="913765"/>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58"/>
                    <a:stretch>
                      <a:fillRect/>
                    </a:stretch>
                  </pic:blipFill>
                  <pic:spPr>
                    <a:xfrm>
                      <a:off x="0" y="0"/>
                      <a:ext cx="6216479" cy="913765"/>
                    </a:xfrm>
                    <a:prstGeom prst="rect">
                      <a:avLst/>
                    </a:prstGeom>
                  </pic:spPr>
                </pic:pic>
              </a:graphicData>
            </a:graphic>
          </wp:inline>
        </w:drawing>
      </w:r>
    </w:p>
    <w:p w14:paraId="36108570">
      <w:pPr>
        <w:pStyle w:val="3"/>
        <w:rPr>
          <w:rFonts w:ascii="宋体" w:hAnsi="宋体" w:cs="宋体"/>
          <w:kern w:val="0"/>
          <w:szCs w:val="30"/>
        </w:rPr>
      </w:pPr>
      <w:bookmarkStart w:id="17" w:name="_Toc10452"/>
      <w:r>
        <w:rPr>
          <w:rFonts w:ascii="宋体" w:hAnsi="宋体" w:cs="宋体"/>
          <w:kern w:val="0"/>
          <w:szCs w:val="30"/>
        </w:rPr>
        <w:t>指定社会代理</w:t>
      </w:r>
      <w:bookmarkEnd w:id="17"/>
    </w:p>
    <w:p w14:paraId="72DC5198">
      <w:pPr>
        <w:rPr>
          <w:szCs w:val="21"/>
        </w:rPr>
      </w:pPr>
      <w:r>
        <w:rPr>
          <w:rFonts w:hint="eastAsia"/>
          <w:szCs w:val="21"/>
        </w:rPr>
        <w:t>主管预算单位或者下级预算单位如果选择采购机构为社会代理机构采购的话，可进入菜单“委托采购—指定社会代理”，如下图：</w:t>
      </w:r>
    </w:p>
    <w:p w14:paraId="0AC12EA4">
      <w:pPr>
        <w:rPr>
          <w:szCs w:val="21"/>
        </w:rPr>
      </w:pPr>
      <w:r>
        <w:rPr>
          <w:rFonts w:hint="eastAsia"/>
          <w:szCs w:val="21"/>
        </w:rPr>
        <w:t>该菜单只</w:t>
      </w:r>
      <w:r>
        <w:rPr>
          <w:rFonts w:hint="eastAsia"/>
          <w:b/>
          <w:szCs w:val="21"/>
        </w:rPr>
        <w:t>针对</w:t>
      </w:r>
      <w:r>
        <w:rPr>
          <w:rFonts w:hint="eastAsia"/>
          <w:szCs w:val="21"/>
        </w:rPr>
        <w:t>需要委托</w:t>
      </w:r>
      <w:r>
        <w:rPr>
          <w:rFonts w:hint="eastAsia"/>
          <w:b/>
          <w:szCs w:val="21"/>
        </w:rPr>
        <w:t>社会代理机构采购</w:t>
      </w:r>
      <w:r>
        <w:rPr>
          <w:rFonts w:hint="eastAsia"/>
          <w:szCs w:val="21"/>
        </w:rPr>
        <w:t>的项目。</w:t>
      </w:r>
    </w:p>
    <w:p w14:paraId="46F01246">
      <w:pPr>
        <w:widowControl/>
        <w:jc w:val="left"/>
        <w:rPr>
          <w:rFonts w:ascii="宋体" w:hAnsi="宋体" w:cs="宋体"/>
          <w:b/>
          <w:kern w:val="0"/>
          <w:sz w:val="24"/>
        </w:rPr>
      </w:pPr>
      <w:r>
        <w:drawing>
          <wp:inline distT="0" distB="0" distL="0" distR="0">
            <wp:extent cx="5848350" cy="1122045"/>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pic:cNvPicPr>
                  </pic:nvPicPr>
                  <pic:blipFill>
                    <a:blip r:embed="rId59"/>
                    <a:stretch>
                      <a:fillRect/>
                    </a:stretch>
                  </pic:blipFill>
                  <pic:spPr>
                    <a:xfrm>
                      <a:off x="0" y="0"/>
                      <a:ext cx="5870825" cy="1126601"/>
                    </a:xfrm>
                    <a:prstGeom prst="rect">
                      <a:avLst/>
                    </a:prstGeom>
                  </pic:spPr>
                </pic:pic>
              </a:graphicData>
            </a:graphic>
          </wp:inline>
        </w:drawing>
      </w:r>
    </w:p>
    <w:p w14:paraId="1B0A2C75">
      <w:r>
        <w:rPr>
          <w:rFonts w:hint="eastAsia"/>
        </w:rPr>
        <w:t>点击之后，“选择”需要委托的代理，完成指定操作。</w:t>
      </w:r>
    </w:p>
    <w:p w14:paraId="173498A3">
      <w:pPr>
        <w:rPr>
          <w:rFonts w:ascii="宋体" w:hAnsi="宋体" w:cs="宋体"/>
          <w:b/>
          <w:kern w:val="0"/>
          <w:szCs w:val="21"/>
        </w:rPr>
      </w:pPr>
      <w:r>
        <w:rPr>
          <w:rFonts w:ascii="宋体" w:hAnsi="宋体" w:cs="宋体"/>
          <w:b/>
          <w:kern w:val="0"/>
          <w:szCs w:val="21"/>
        </w:rPr>
        <w:t>注</w:t>
      </w:r>
      <w:r>
        <w:rPr>
          <w:rFonts w:hint="eastAsia" w:ascii="宋体" w:hAnsi="宋体" w:cs="宋体"/>
          <w:b/>
          <w:kern w:val="0"/>
          <w:szCs w:val="21"/>
        </w:rPr>
        <w:t>：1）主管预算单位只可以操作组织形式为“部门”的委托采购项目，下级预算单位只可以操作组织形式为“分散”的委托采购项目；</w:t>
      </w:r>
    </w:p>
    <w:p w14:paraId="7DA6D55B">
      <w:pPr>
        <w:rPr>
          <w:rFonts w:ascii="宋体" w:hAnsi="宋体" w:cs="宋体"/>
          <w:b/>
          <w:kern w:val="0"/>
          <w:szCs w:val="21"/>
        </w:rPr>
      </w:pPr>
      <w:r>
        <w:rPr>
          <w:rFonts w:hint="eastAsia" w:ascii="宋体" w:hAnsi="宋体" w:cs="宋体"/>
          <w:b/>
          <w:kern w:val="0"/>
          <w:szCs w:val="21"/>
        </w:rPr>
        <w:t>2）如果需要撤销指定的社会代理机构，则需要主管预算单位或者下级预算单位在已确定页面中点击“撤销指定”按钮</w:t>
      </w:r>
      <w:r>
        <w:rPr>
          <w:b/>
          <w:szCs w:val="21"/>
        </w:rPr>
        <w:drawing>
          <wp:inline distT="0" distB="0" distL="0" distR="0">
            <wp:extent cx="875665" cy="332740"/>
            <wp:effectExtent l="0" t="0" r="635"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pic:cNvPicPr>
                  </pic:nvPicPr>
                  <pic:blipFill>
                    <a:blip r:embed="rId60"/>
                    <a:stretch>
                      <a:fillRect/>
                    </a:stretch>
                  </pic:blipFill>
                  <pic:spPr>
                    <a:xfrm>
                      <a:off x="0" y="0"/>
                      <a:ext cx="876190" cy="333333"/>
                    </a:xfrm>
                    <a:prstGeom prst="rect">
                      <a:avLst/>
                    </a:prstGeom>
                  </pic:spPr>
                </pic:pic>
              </a:graphicData>
            </a:graphic>
          </wp:inline>
        </w:drawing>
      </w:r>
      <w:r>
        <w:rPr>
          <w:rFonts w:hint="eastAsia" w:ascii="宋体" w:hAnsi="宋体" w:cs="宋体"/>
          <w:b/>
          <w:kern w:val="0"/>
          <w:szCs w:val="21"/>
        </w:rPr>
        <w:t>即可。</w:t>
      </w:r>
    </w:p>
    <w:p w14:paraId="540FD757">
      <w:pPr>
        <w:rPr>
          <w:rFonts w:ascii="宋体" w:hAnsi="宋体" w:cs="宋体"/>
          <w:color w:val="FF0000"/>
          <w:kern w:val="0"/>
          <w:sz w:val="24"/>
        </w:rPr>
      </w:pPr>
    </w:p>
    <w:p w14:paraId="2761FF7F">
      <w:pPr>
        <w:widowControl/>
        <w:jc w:val="left"/>
      </w:pPr>
      <w:bookmarkStart w:id="18" w:name="_Toc332110312"/>
    </w:p>
    <w:p w14:paraId="07021968">
      <w:pPr>
        <w:pStyle w:val="2"/>
      </w:pPr>
      <w:bookmarkStart w:id="19" w:name="_Toc28945"/>
      <w:r>
        <w:rPr>
          <w:rFonts w:hint="eastAsia"/>
        </w:rPr>
        <w:t>委托采购</w:t>
      </w:r>
      <w:bookmarkEnd w:id="19"/>
    </w:p>
    <w:bookmarkEnd w:id="18"/>
    <w:p w14:paraId="7A3D99FD">
      <w:pPr>
        <w:widowControl/>
        <w:jc w:val="left"/>
        <w:rPr>
          <w:rFonts w:ascii="宋体" w:hAnsi="宋体" w:cs="宋体"/>
          <w:kern w:val="0"/>
          <w:szCs w:val="21"/>
        </w:rPr>
      </w:pPr>
      <w:r>
        <w:rPr>
          <w:rFonts w:ascii="宋体" w:hAnsi="宋体" w:cs="宋体"/>
          <w:kern w:val="0"/>
          <w:szCs w:val="21"/>
        </w:rPr>
        <w:t>委托了社会代理机构采购的项目</w:t>
      </w:r>
      <w:r>
        <w:rPr>
          <w:rFonts w:hint="eastAsia" w:ascii="宋体" w:hAnsi="宋体" w:cs="宋体"/>
          <w:kern w:val="0"/>
          <w:szCs w:val="21"/>
        </w:rPr>
        <w:t>（例如：部门委托采购或者分散委托采购），主管预算单位或者下级预算单位可在这个栏目下完成后续委托采购相关的流程操作。比如：对代理做的电子化公开招标采购项目的招标文件审核确认操作、对代理做的采购公告的审核确认等操作功能。</w:t>
      </w:r>
    </w:p>
    <w:p w14:paraId="0BF5EBB0">
      <w:pPr>
        <w:pStyle w:val="3"/>
      </w:pPr>
      <w:bookmarkStart w:id="20" w:name="_Toc3881"/>
      <w:r>
        <w:rPr>
          <w:rFonts w:hint="eastAsia"/>
        </w:rPr>
        <w:t>委托采购相关资料审核</w:t>
      </w:r>
      <w:bookmarkEnd w:id="20"/>
    </w:p>
    <w:p w14:paraId="7791A110">
      <w:pPr>
        <w:rPr>
          <w:szCs w:val="21"/>
        </w:rPr>
      </w:pPr>
      <w:r>
        <w:rPr>
          <w:rFonts w:hint="eastAsia"/>
          <w:szCs w:val="21"/>
        </w:rPr>
        <w:t>以采购单位身份登入用户系统，预算单位和主管预算单位可以看到一些审核菜单，如下图：</w:t>
      </w:r>
    </w:p>
    <w:p w14:paraId="04F075A3">
      <w:pPr>
        <w:widowControl/>
        <w:jc w:val="center"/>
        <w:rPr>
          <w:rFonts w:ascii="宋体" w:hAnsi="宋体" w:cs="宋体"/>
          <w:kern w:val="0"/>
          <w:sz w:val="24"/>
        </w:rPr>
      </w:pPr>
      <w:r>
        <w:drawing>
          <wp:inline distT="0" distB="0" distL="0" distR="0">
            <wp:extent cx="5637530" cy="1301750"/>
            <wp:effectExtent l="0" t="0" r="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61"/>
                    <a:stretch>
                      <a:fillRect/>
                    </a:stretch>
                  </pic:blipFill>
                  <pic:spPr>
                    <a:xfrm>
                      <a:off x="0" y="0"/>
                      <a:ext cx="5729588" cy="1322978"/>
                    </a:xfrm>
                    <a:prstGeom prst="rect">
                      <a:avLst/>
                    </a:prstGeom>
                  </pic:spPr>
                </pic:pic>
              </a:graphicData>
            </a:graphic>
          </wp:inline>
        </w:drawing>
      </w:r>
    </w:p>
    <w:p w14:paraId="55546DC7">
      <w:r>
        <w:rPr>
          <w:rFonts w:hint="eastAsia"/>
        </w:rPr>
        <w:t>采购文件审核、采购公告审核、答疑文件审核、变更公告审核、打印专家抽取申请表、结果公示审核、非招标方式（废标）处理、预中标（成交）异常处理、招标方式（废标）处理这几个菜单均不需要采购单位主动发起操作，它们是由采购代理新增发起流程操作，采购单位只负责审核工作，在待审核状态下可以看到需要审核的项目。</w:t>
      </w:r>
    </w:p>
    <w:p w14:paraId="574311AB">
      <w:pPr>
        <w:rPr>
          <w:rFonts w:ascii="宋体" w:hAnsi="宋体" w:cs="宋体"/>
          <w:kern w:val="0"/>
          <w:sz w:val="24"/>
        </w:rPr>
      </w:pPr>
    </w:p>
    <w:p w14:paraId="3153F2FF">
      <w:pPr>
        <w:rPr>
          <w:rFonts w:ascii="宋体" w:hAnsi="宋体" w:cs="宋体"/>
          <w:kern w:val="0"/>
          <w:szCs w:val="21"/>
        </w:rPr>
      </w:pPr>
      <w:r>
        <w:rPr>
          <w:rFonts w:hint="eastAsia" w:ascii="宋体" w:hAnsi="宋体" w:cs="宋体"/>
          <w:kern w:val="0"/>
          <w:szCs w:val="21"/>
        </w:rPr>
        <w:t>注意：代理相关资料审核只针对委托代理招标的项目，若批复成集中-协议采购的项目，可以直接跳过这些步骤。</w:t>
      </w:r>
    </w:p>
    <w:p w14:paraId="02D43EB3">
      <w:pPr>
        <w:ind w:firstLine="630" w:firstLineChars="300"/>
        <w:rPr>
          <w:rFonts w:ascii="宋体" w:hAnsi="宋体" w:cs="宋体"/>
          <w:kern w:val="0"/>
          <w:szCs w:val="21"/>
        </w:rPr>
      </w:pPr>
      <w:r>
        <w:rPr>
          <w:rFonts w:hint="eastAsia" w:ascii="宋体" w:hAnsi="宋体" w:cs="宋体"/>
          <w:kern w:val="0"/>
          <w:szCs w:val="21"/>
        </w:rPr>
        <w:t>协议采购的跳到协议采购模块下“挑选协议商品”。</w:t>
      </w:r>
    </w:p>
    <w:p w14:paraId="78935139">
      <w:pPr>
        <w:pStyle w:val="2"/>
        <w:rPr>
          <w:kern w:val="0"/>
        </w:rPr>
      </w:pPr>
      <w:bookmarkStart w:id="21" w:name="_Toc8869"/>
      <w:r>
        <w:rPr>
          <w:rFonts w:hint="eastAsia"/>
          <w:kern w:val="0"/>
        </w:rPr>
        <w:t>自行采购</w:t>
      </w:r>
      <w:bookmarkEnd w:id="21"/>
    </w:p>
    <w:p w14:paraId="465A6C1F">
      <w:r>
        <w:rPr>
          <w:rFonts w:hint="eastAsia"/>
        </w:rPr>
        <w:t>如果采购单位（主管预算单位或者下级预算单位）具备自行组织招标活动、编制采购招标文件、发布采购公告等能力的，可以选择“自行采购”。具体流程操作详见以下章节。</w:t>
      </w:r>
    </w:p>
    <w:p w14:paraId="36BF1F35">
      <w:pPr>
        <w:pStyle w:val="3"/>
      </w:pPr>
      <w:bookmarkStart w:id="22" w:name="_Toc26711"/>
      <w:r>
        <w:rPr>
          <w:rFonts w:hint="eastAsia"/>
        </w:rPr>
        <w:t>组建分包</w:t>
      </w:r>
      <w:bookmarkEnd w:id="22"/>
    </w:p>
    <w:p w14:paraId="26D93B1C">
      <w:r>
        <w:rPr>
          <w:rFonts w:hint="eastAsia"/>
        </w:rPr>
        <w:t>如果主管预算单位或者下级预算单位选择采购机构为“自行采购”的话，可以在“自行采购”模块中新增组建分包，找到该项目，完成后续业务流程。如下图：</w:t>
      </w:r>
    </w:p>
    <w:p w14:paraId="66D4520F"/>
    <w:p w14:paraId="126B1ACC">
      <w:pPr>
        <w:jc w:val="center"/>
      </w:pPr>
      <w:r>
        <w:drawing>
          <wp:inline distT="0" distB="0" distL="0" distR="0">
            <wp:extent cx="5705475" cy="1593215"/>
            <wp:effectExtent l="0" t="0" r="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62"/>
                    <a:stretch>
                      <a:fillRect/>
                    </a:stretch>
                  </pic:blipFill>
                  <pic:spPr>
                    <a:xfrm>
                      <a:off x="0" y="0"/>
                      <a:ext cx="5773516" cy="1612423"/>
                    </a:xfrm>
                    <a:prstGeom prst="rect">
                      <a:avLst/>
                    </a:prstGeom>
                  </pic:spPr>
                </pic:pic>
              </a:graphicData>
            </a:graphic>
          </wp:inline>
        </w:drawing>
      </w:r>
    </w:p>
    <w:p w14:paraId="7E308066"/>
    <w:p w14:paraId="0BFAAE5A"/>
    <w:p w14:paraId="76279D87">
      <w:r>
        <w:rPr>
          <w:rFonts w:hint="eastAsia"/>
        </w:rPr>
        <w:t>点击“选择组建项目”后如下图所示，勾选待组建项目，点击“确认选择”。</w:t>
      </w:r>
    </w:p>
    <w:p w14:paraId="0F9C588C">
      <w:pPr>
        <w:jc w:val="center"/>
      </w:pPr>
      <w:r>
        <w:drawing>
          <wp:inline distT="0" distB="0" distL="0" distR="0">
            <wp:extent cx="5561965" cy="2644775"/>
            <wp:effectExtent l="0" t="0" r="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63"/>
                    <a:stretch>
                      <a:fillRect/>
                    </a:stretch>
                  </pic:blipFill>
                  <pic:spPr>
                    <a:xfrm>
                      <a:off x="0" y="0"/>
                      <a:ext cx="5572326" cy="2649434"/>
                    </a:xfrm>
                    <a:prstGeom prst="rect">
                      <a:avLst/>
                    </a:prstGeom>
                  </pic:spPr>
                </pic:pic>
              </a:graphicData>
            </a:graphic>
          </wp:inline>
        </w:drawing>
      </w:r>
    </w:p>
    <w:p w14:paraId="1CA666C1">
      <w:pPr>
        <w:rPr>
          <w:b/>
        </w:rPr>
      </w:pPr>
      <w:r>
        <w:rPr>
          <w:rFonts w:hint="eastAsia"/>
          <w:b/>
        </w:rPr>
        <w:t>注：</w:t>
      </w:r>
    </w:p>
    <w:p w14:paraId="698D6F68">
      <w:pPr>
        <w:rPr>
          <w:b/>
        </w:rPr>
      </w:pPr>
      <w:r>
        <w:rPr>
          <w:rFonts w:hint="eastAsia"/>
          <w:b/>
        </w:rPr>
        <w:t>分散自行采购的项目由预算单位完成组建分包及后续流程；部门自行采购的项目由主管预算单位完成组建分包及后续流程。</w:t>
      </w:r>
    </w:p>
    <w:p w14:paraId="191D14A5">
      <w:pPr>
        <w:rPr>
          <w:b/>
        </w:rPr>
      </w:pPr>
    </w:p>
    <w:p w14:paraId="6748580A">
      <w:pPr>
        <w:rPr>
          <w:b/>
        </w:rPr>
      </w:pPr>
    </w:p>
    <w:p w14:paraId="1539E54F">
      <w:pPr>
        <w:rPr>
          <w:b/>
        </w:rPr>
      </w:pPr>
    </w:p>
    <w:p w14:paraId="3A268CDD">
      <w:r>
        <w:t>进入如下图所示的页面</w:t>
      </w:r>
      <w:r>
        <w:rPr>
          <w:rFonts w:hint="eastAsia"/>
        </w:rPr>
        <w:t>，</w:t>
      </w:r>
      <w:r>
        <w:t>确认无误后点击组建分包按钮即可完成组包</w:t>
      </w:r>
      <w:r>
        <w:rPr>
          <w:rFonts w:hint="eastAsia"/>
        </w:rPr>
        <w:t>。</w:t>
      </w:r>
    </w:p>
    <w:p w14:paraId="2394A042">
      <w:pPr>
        <w:jc w:val="center"/>
        <w:rPr>
          <w:b/>
        </w:rPr>
      </w:pPr>
      <w:r>
        <w:drawing>
          <wp:inline distT="0" distB="0" distL="0" distR="0">
            <wp:extent cx="5711825" cy="2269490"/>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pic:cNvPicPr>
                      <a:picLocks noChangeAspect="1"/>
                    </pic:cNvPicPr>
                  </pic:nvPicPr>
                  <pic:blipFill>
                    <a:blip r:embed="rId64"/>
                    <a:stretch>
                      <a:fillRect/>
                    </a:stretch>
                  </pic:blipFill>
                  <pic:spPr>
                    <a:xfrm>
                      <a:off x="0" y="0"/>
                      <a:ext cx="5743881" cy="2282262"/>
                    </a:xfrm>
                    <a:prstGeom prst="rect">
                      <a:avLst/>
                    </a:prstGeom>
                  </pic:spPr>
                </pic:pic>
              </a:graphicData>
            </a:graphic>
          </wp:inline>
        </w:drawing>
      </w:r>
    </w:p>
    <w:p w14:paraId="0F1D61C4">
      <w:pPr>
        <w:rPr>
          <w:b/>
          <w:color w:val="FF0000"/>
        </w:rPr>
      </w:pPr>
      <w:r>
        <w:rPr>
          <w:rFonts w:hint="eastAsia"/>
          <w:b/>
          <w:color w:val="FF0000"/>
        </w:rPr>
        <w:t>注：1）此处招标名称和招标编号由采购人自行编写，建议有自己的规则，方便自己做业务。此处编号和名称不同于实施计划批复里的编号和名称；</w:t>
      </w:r>
    </w:p>
    <w:p w14:paraId="485A4010">
      <w:pPr>
        <w:rPr>
          <w:b/>
          <w:color w:val="FF0000"/>
        </w:rPr>
      </w:pPr>
      <w:r>
        <w:rPr>
          <w:rFonts w:hint="eastAsia"/>
          <w:b/>
          <w:color w:val="FF0000"/>
        </w:rPr>
        <w:t>2）根据《江西省政府采购管理实施办法》要求，组建分包时，可以选择邀请供应商的方式（公告征集、推荐、供应商库抽取）；</w:t>
      </w:r>
    </w:p>
    <w:p w14:paraId="4C82DC81">
      <w:pPr>
        <w:rPr>
          <w:b/>
          <w:color w:val="FF0000"/>
        </w:rPr>
      </w:pPr>
      <w:r>
        <w:rPr>
          <w:rFonts w:hint="eastAsia"/>
          <w:b/>
          <w:color w:val="FF0000"/>
        </w:rPr>
        <w:t>3）选择的是公告征集的，该组包必须发布采购公告；</w:t>
      </w:r>
    </w:p>
    <w:p w14:paraId="48003250">
      <w:pPr>
        <w:rPr>
          <w:b/>
          <w:color w:val="FF0000"/>
        </w:rPr>
      </w:pPr>
      <w:r>
        <w:rPr>
          <w:rFonts w:hint="eastAsia"/>
          <w:b/>
          <w:color w:val="FF0000"/>
        </w:rPr>
        <w:t>4）选择的是推荐或者是供应商库抽取，该组包无需发布采购公告（即组完包之后可以直接发布结果公示）。</w:t>
      </w:r>
    </w:p>
    <w:p w14:paraId="365574A1">
      <w:pPr>
        <w:rPr>
          <w:b/>
          <w:color w:val="FF0000"/>
        </w:rPr>
      </w:pPr>
      <w:r>
        <w:rPr>
          <w:rFonts w:hint="eastAsia"/>
          <w:b/>
          <w:color w:val="FF0000"/>
        </w:rPr>
        <w:t>5）采购方式为公开招标的项目，邀请供应商的方式默认为公告征集，无法修改；</w:t>
      </w:r>
    </w:p>
    <w:p w14:paraId="3D4A0D21">
      <w:pPr>
        <w:rPr>
          <w:b/>
          <w:color w:val="FF0000"/>
        </w:rPr>
      </w:pPr>
      <w:r>
        <w:rPr>
          <w:rFonts w:hint="eastAsia"/>
          <w:b/>
          <w:color w:val="FF0000"/>
        </w:rPr>
        <w:t>6）采购方式为单一来源的项目，邀请供应商的方式默认为推荐，无法修改；</w:t>
      </w:r>
    </w:p>
    <w:p w14:paraId="594F6DB4">
      <w:pPr>
        <w:rPr>
          <w:b/>
          <w:color w:val="FF0000"/>
        </w:rPr>
      </w:pPr>
      <w:r>
        <w:rPr>
          <w:rFonts w:hint="eastAsia"/>
          <w:b/>
          <w:color w:val="FF0000"/>
        </w:rPr>
        <w:t>7）其他的采购方式的项目，可以根据项目招标的实际情况自由选择一种邀请供应商的方式。</w:t>
      </w:r>
    </w:p>
    <w:p w14:paraId="3F673DB5"/>
    <w:p w14:paraId="29175B83">
      <w:pPr>
        <w:rPr>
          <w:b/>
          <w:color w:val="FF0000"/>
        </w:rPr>
      </w:pPr>
    </w:p>
    <w:p w14:paraId="7C790764">
      <w:pPr>
        <w:pStyle w:val="3"/>
      </w:pPr>
      <w:bookmarkStart w:id="23" w:name="_Toc31360"/>
      <w:r>
        <w:rPr>
          <w:rFonts w:hint="eastAsia"/>
        </w:rPr>
        <w:t>预约场地</w:t>
      </w:r>
      <w:bookmarkEnd w:id="23"/>
    </w:p>
    <w:p w14:paraId="5236E614">
      <w:r>
        <w:rPr>
          <w:rFonts w:hint="eastAsia"/>
        </w:rPr>
        <w:t>从自行采购中进入“场地预约”菜单，如下图：（</w:t>
      </w:r>
      <w:r>
        <w:rPr>
          <w:rFonts w:hint="eastAsia"/>
          <w:color w:val="FF0000"/>
        </w:rPr>
        <w:t>注：只有采购方式为公开招标的项目才可进行场地预约！其他采购方式的项目无需线上预约场地</w:t>
      </w:r>
      <w:r>
        <w:rPr>
          <w:rFonts w:hint="eastAsia"/>
        </w:rPr>
        <w:t>）</w:t>
      </w:r>
    </w:p>
    <w:p w14:paraId="5D5DE94B">
      <w:pPr>
        <w:jc w:val="center"/>
      </w:pPr>
      <w:r>
        <w:drawing>
          <wp:inline distT="0" distB="0" distL="0" distR="0">
            <wp:extent cx="5767705" cy="1390650"/>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pic:cNvPicPr>
                  </pic:nvPicPr>
                  <pic:blipFill>
                    <a:blip r:embed="rId65"/>
                    <a:stretch>
                      <a:fillRect/>
                    </a:stretch>
                  </pic:blipFill>
                  <pic:spPr>
                    <a:xfrm>
                      <a:off x="0" y="0"/>
                      <a:ext cx="5802139" cy="1398826"/>
                    </a:xfrm>
                    <a:prstGeom prst="rect">
                      <a:avLst/>
                    </a:prstGeom>
                  </pic:spPr>
                </pic:pic>
              </a:graphicData>
            </a:graphic>
          </wp:inline>
        </w:drawing>
      </w:r>
    </w:p>
    <w:p w14:paraId="52178266">
      <w:r>
        <w:rPr>
          <w:rFonts w:hint="eastAsia"/>
        </w:rPr>
        <w:t>已进行“组建分包”的公开招标项目，点击新增开评标场地预约按钮，可（批量）勾选需要预约场地的项目，然后点击“确认选择”。如下图所示：</w:t>
      </w:r>
    </w:p>
    <w:p w14:paraId="09A556A3">
      <w:pPr>
        <w:jc w:val="center"/>
      </w:pPr>
      <w:r>
        <w:drawing>
          <wp:inline distT="0" distB="0" distL="0" distR="0">
            <wp:extent cx="5591175" cy="2146300"/>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r:embed="rId66"/>
                    <a:stretch>
                      <a:fillRect/>
                    </a:stretch>
                  </pic:blipFill>
                  <pic:spPr>
                    <a:xfrm>
                      <a:off x="0" y="0"/>
                      <a:ext cx="5609374" cy="2153294"/>
                    </a:xfrm>
                    <a:prstGeom prst="rect">
                      <a:avLst/>
                    </a:prstGeom>
                  </pic:spPr>
                </pic:pic>
              </a:graphicData>
            </a:graphic>
          </wp:inline>
        </w:drawing>
      </w:r>
    </w:p>
    <w:p w14:paraId="5ED3B452">
      <w:r>
        <w:rPr>
          <w:rFonts w:hint="eastAsia"/>
        </w:rPr>
        <w:t>完善好需要填写的相关信息后，可点击“交易中心确定”按钮，如下图所示：</w:t>
      </w:r>
    </w:p>
    <w:p w14:paraId="04E8F118">
      <w:pPr>
        <w:jc w:val="center"/>
      </w:pPr>
      <w:r>
        <w:drawing>
          <wp:inline distT="0" distB="0" distL="0" distR="0">
            <wp:extent cx="5774690" cy="2167255"/>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67"/>
                    <a:stretch>
                      <a:fillRect/>
                    </a:stretch>
                  </pic:blipFill>
                  <pic:spPr>
                    <a:xfrm>
                      <a:off x="0" y="0"/>
                      <a:ext cx="5794229" cy="2174911"/>
                    </a:xfrm>
                    <a:prstGeom prst="rect">
                      <a:avLst/>
                    </a:prstGeom>
                  </pic:spPr>
                </pic:pic>
              </a:graphicData>
            </a:graphic>
          </wp:inline>
        </w:drawing>
      </w:r>
    </w:p>
    <w:p w14:paraId="0D9CA6FB">
      <w:r>
        <w:rPr>
          <w:rFonts w:hint="eastAsia"/>
        </w:rPr>
        <w:t>查看开评标场地预约情况，如下图：</w:t>
      </w:r>
    </w:p>
    <w:p w14:paraId="22C558A6">
      <w:pPr>
        <w:jc w:val="center"/>
      </w:pPr>
      <w:r>
        <w:drawing>
          <wp:inline distT="0" distB="0" distL="0" distR="0">
            <wp:extent cx="4381500" cy="1996440"/>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68"/>
                    <a:stretch>
                      <a:fillRect/>
                    </a:stretch>
                  </pic:blipFill>
                  <pic:spPr>
                    <a:xfrm>
                      <a:off x="0" y="0"/>
                      <a:ext cx="4385480" cy="1998845"/>
                    </a:xfrm>
                    <a:prstGeom prst="rect">
                      <a:avLst/>
                    </a:prstGeom>
                  </pic:spPr>
                </pic:pic>
              </a:graphicData>
            </a:graphic>
          </wp:inline>
        </w:drawing>
      </w:r>
    </w:p>
    <w:p w14:paraId="5D2B021D">
      <w:pPr>
        <w:rPr>
          <w:color w:val="FF0000"/>
        </w:rPr>
      </w:pPr>
      <w:r>
        <w:rPr>
          <w:rFonts w:hint="eastAsia"/>
          <w:color w:val="FF0000"/>
        </w:rPr>
        <w:t>注：统一联系</w:t>
      </w:r>
      <w:r>
        <w:rPr>
          <w:color w:val="FF0000"/>
        </w:rPr>
        <w:t>交易中心支付</w:t>
      </w:r>
      <w:r>
        <w:rPr>
          <w:rFonts w:hint="eastAsia"/>
          <w:color w:val="FF0000"/>
        </w:rPr>
        <w:t>场地</w:t>
      </w:r>
      <w:r>
        <w:rPr>
          <w:color w:val="FF0000"/>
        </w:rPr>
        <w:t>费用。</w:t>
      </w:r>
    </w:p>
    <w:p w14:paraId="24C4D018">
      <w:pPr>
        <w:pStyle w:val="3"/>
      </w:pPr>
      <w:bookmarkStart w:id="24" w:name="_Toc12084"/>
      <w:r>
        <w:rPr>
          <w:rFonts w:hint="eastAsia"/>
        </w:rPr>
        <w:t>采购文件</w:t>
      </w:r>
      <w:bookmarkEnd w:id="24"/>
    </w:p>
    <w:p w14:paraId="5C085D3D">
      <w:r>
        <w:rPr>
          <w:rFonts w:hint="eastAsia"/>
        </w:rPr>
        <w:t>已完成场地预约的电子化公开招标采购项目，在此新增采购文件（具体采购文件制作方式见江西省公共资源交易网相关采购招标文件制作工具操作手册），点击“新增采购文件”如下图所示：</w:t>
      </w:r>
    </w:p>
    <w:p w14:paraId="67241A90">
      <w:pPr>
        <w:jc w:val="center"/>
      </w:pPr>
      <w:r>
        <w:drawing>
          <wp:inline distT="0" distB="0" distL="0" distR="0">
            <wp:extent cx="5807075" cy="152717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9"/>
                    <a:stretch>
                      <a:fillRect/>
                    </a:stretch>
                  </pic:blipFill>
                  <pic:spPr>
                    <a:xfrm>
                      <a:off x="0" y="0"/>
                      <a:ext cx="5836928" cy="1535572"/>
                    </a:xfrm>
                    <a:prstGeom prst="rect">
                      <a:avLst/>
                    </a:prstGeom>
                  </pic:spPr>
                </pic:pic>
              </a:graphicData>
            </a:graphic>
          </wp:inline>
        </w:drawing>
      </w:r>
    </w:p>
    <w:p w14:paraId="27CE38D7">
      <w:r>
        <w:rPr>
          <w:rFonts w:hint="eastAsia"/>
        </w:rPr>
        <w:t>勾选需要新增采购文件的项目，点击“确认选择”，如下图所示：</w:t>
      </w:r>
    </w:p>
    <w:p w14:paraId="4C0E7963">
      <w:pPr>
        <w:jc w:val="center"/>
      </w:pPr>
      <w:r>
        <w:drawing>
          <wp:inline distT="0" distB="0" distL="0" distR="0">
            <wp:extent cx="5381625" cy="203454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0"/>
                    <a:stretch>
                      <a:fillRect/>
                    </a:stretch>
                  </pic:blipFill>
                  <pic:spPr>
                    <a:xfrm>
                      <a:off x="0" y="0"/>
                      <a:ext cx="5395150" cy="2040041"/>
                    </a:xfrm>
                    <a:prstGeom prst="rect">
                      <a:avLst/>
                    </a:prstGeom>
                  </pic:spPr>
                </pic:pic>
              </a:graphicData>
            </a:graphic>
          </wp:inline>
        </w:drawing>
      </w:r>
    </w:p>
    <w:p w14:paraId="708F11A8">
      <w:r>
        <w:rPr>
          <w:rFonts w:hint="eastAsia"/>
        </w:rPr>
        <w:t>填写好招标文件标题等信息之后，可在此页面上上传电子化采购招标文件（后缀名为：.JXZF格式），并提交备案。如下图所示：</w:t>
      </w:r>
    </w:p>
    <w:p w14:paraId="42131887">
      <w:pPr>
        <w:jc w:val="center"/>
      </w:pPr>
      <w:r>
        <w:drawing>
          <wp:inline distT="0" distB="0" distL="0" distR="0">
            <wp:extent cx="5219700" cy="230124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71"/>
                    <a:stretch>
                      <a:fillRect/>
                    </a:stretch>
                  </pic:blipFill>
                  <pic:spPr>
                    <a:xfrm>
                      <a:off x="0" y="0"/>
                      <a:ext cx="5219700" cy="2301743"/>
                    </a:xfrm>
                    <a:prstGeom prst="rect">
                      <a:avLst/>
                    </a:prstGeom>
                  </pic:spPr>
                </pic:pic>
              </a:graphicData>
            </a:graphic>
          </wp:inline>
        </w:drawing>
      </w:r>
    </w:p>
    <w:p w14:paraId="0BA81EA5">
      <w:pPr>
        <w:rPr>
          <w:b/>
          <w:color w:val="FF0000"/>
        </w:rPr>
      </w:pPr>
      <w:r>
        <w:rPr>
          <w:rFonts w:hint="eastAsia"/>
          <w:b/>
          <w:color w:val="FF0000"/>
        </w:rPr>
        <w:t>注：澄清文件的备案操作与采购文件备案操作相似。澄清文件的格式为：.JXCF。</w:t>
      </w:r>
    </w:p>
    <w:p w14:paraId="425D99C3">
      <w:pPr>
        <w:pStyle w:val="3"/>
      </w:pPr>
      <w:bookmarkStart w:id="25" w:name="_Toc20670"/>
      <w:r>
        <w:rPr>
          <w:rFonts w:hint="eastAsia"/>
        </w:rPr>
        <w:t>采购公告</w:t>
      </w:r>
      <w:bookmarkEnd w:id="25"/>
    </w:p>
    <w:p w14:paraId="3B23E796">
      <w:r>
        <w:rPr>
          <w:rFonts w:hint="eastAsia"/>
        </w:rPr>
        <w:t>场地已预约完成的公开招标项目或者是已组建分包的非招标方式的项目，可在采购公告中选择“新增采购公告”按钮新增采购公告，如下图所示：</w:t>
      </w:r>
    </w:p>
    <w:p w14:paraId="2057F243">
      <w:pPr>
        <w:jc w:val="center"/>
      </w:pPr>
      <w:r>
        <w:drawing>
          <wp:inline distT="0" distB="0" distL="0" distR="0">
            <wp:extent cx="5675630" cy="116205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72"/>
                    <a:stretch>
                      <a:fillRect/>
                    </a:stretch>
                  </pic:blipFill>
                  <pic:spPr>
                    <a:xfrm>
                      <a:off x="0" y="0"/>
                      <a:ext cx="5715959" cy="1170316"/>
                    </a:xfrm>
                    <a:prstGeom prst="rect">
                      <a:avLst/>
                    </a:prstGeom>
                  </pic:spPr>
                </pic:pic>
              </a:graphicData>
            </a:graphic>
          </wp:inline>
        </w:drawing>
      </w:r>
    </w:p>
    <w:p w14:paraId="7862412B">
      <w:r>
        <w:rPr>
          <w:rFonts w:hint="eastAsia"/>
        </w:rPr>
        <w:t>勾选需要发布公告的项目，点击“确认选择”如下图所示：</w:t>
      </w:r>
    </w:p>
    <w:p w14:paraId="0D2CEC47"/>
    <w:p w14:paraId="3BA7653B">
      <w:r>
        <w:drawing>
          <wp:inline distT="0" distB="0" distL="0" distR="0">
            <wp:extent cx="5495925" cy="2554605"/>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73"/>
                    <a:stretch>
                      <a:fillRect/>
                    </a:stretch>
                  </pic:blipFill>
                  <pic:spPr>
                    <a:xfrm>
                      <a:off x="0" y="0"/>
                      <a:ext cx="5528951" cy="2570578"/>
                    </a:xfrm>
                    <a:prstGeom prst="rect">
                      <a:avLst/>
                    </a:prstGeom>
                  </pic:spPr>
                </pic:pic>
              </a:graphicData>
            </a:graphic>
          </wp:inline>
        </w:drawing>
      </w:r>
    </w:p>
    <w:p w14:paraId="346ECC4D">
      <w:r>
        <w:rPr>
          <w:rFonts w:hint="eastAsia"/>
        </w:rPr>
        <w:t>填写好招标公告的内容，具体如下图所示：</w:t>
      </w:r>
      <w:r>
        <w:t xml:space="preserve"> </w:t>
      </w:r>
    </w:p>
    <w:p w14:paraId="5E792668">
      <w:pPr>
        <w:jc w:val="center"/>
      </w:pPr>
      <w:r>
        <w:drawing>
          <wp:inline distT="0" distB="0" distL="0" distR="0">
            <wp:extent cx="5538470" cy="2436495"/>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74"/>
                    <a:stretch>
                      <a:fillRect/>
                    </a:stretch>
                  </pic:blipFill>
                  <pic:spPr>
                    <a:xfrm>
                      <a:off x="0" y="0"/>
                      <a:ext cx="5560740" cy="2446636"/>
                    </a:xfrm>
                    <a:prstGeom prst="rect">
                      <a:avLst/>
                    </a:prstGeom>
                  </pic:spPr>
                </pic:pic>
              </a:graphicData>
            </a:graphic>
          </wp:inline>
        </w:drawing>
      </w:r>
    </w:p>
    <w:p w14:paraId="2B064EB0"/>
    <w:p w14:paraId="2348257C">
      <w:pPr>
        <w:jc w:val="center"/>
      </w:pPr>
    </w:p>
    <w:p w14:paraId="150BB36E">
      <w:r>
        <w:rPr>
          <w:rFonts w:hint="eastAsia"/>
          <w:b/>
          <w:bCs/>
        </w:rPr>
        <w:t>保证金截止时间</w:t>
      </w:r>
      <w:r>
        <w:rPr>
          <w:rFonts w:hint="eastAsia"/>
        </w:rPr>
        <w:t>：招标公告中，设置保证金缴纳截止时间，晚于该时间入账的保证金都为无效，可通过变更公告更改保证金缴纳截止时间。（针对公开</w:t>
      </w:r>
      <w:r>
        <w:t>招标项目</w:t>
      </w:r>
      <w:r>
        <w:rPr>
          <w:rFonts w:hint="eastAsia"/>
        </w:rPr>
        <w:t>，如</w:t>
      </w:r>
      <w:r>
        <w:t>走</w:t>
      </w:r>
      <w:r>
        <w:rPr>
          <w:rFonts w:hint="eastAsia"/>
        </w:rPr>
        <w:t>系统</w:t>
      </w:r>
      <w:r>
        <w:t>上保证金</w:t>
      </w:r>
      <w:r>
        <w:rPr>
          <w:rFonts w:hint="eastAsia"/>
        </w:rPr>
        <w:t>，可在此设置</w:t>
      </w:r>
      <w:r>
        <w:t>保证金截</w:t>
      </w:r>
      <w:r>
        <w:rPr>
          <w:rFonts w:hint="eastAsia"/>
        </w:rPr>
        <w:t>至</w:t>
      </w:r>
      <w:r>
        <w:t>时间，</w:t>
      </w:r>
      <w:r>
        <w:rPr>
          <w:rFonts w:hint="eastAsia"/>
        </w:rPr>
        <w:t>供应商</w:t>
      </w:r>
      <w:r>
        <w:t>报名之后在</w:t>
      </w:r>
      <w:r>
        <w:rPr>
          <w:rFonts w:hint="eastAsia"/>
        </w:rPr>
        <w:t>系统</w:t>
      </w:r>
      <w:r>
        <w:t>中保证金管理</w:t>
      </w:r>
      <w:r>
        <w:rPr>
          <w:rFonts w:hint="eastAsia"/>
        </w:rPr>
        <w:t>缴纳</w:t>
      </w:r>
      <w:r>
        <w:t>保证金，</w:t>
      </w:r>
      <w:r>
        <w:rPr>
          <w:rFonts w:hint="eastAsia"/>
        </w:rPr>
        <w:t>如</w:t>
      </w:r>
      <w:r>
        <w:t>不</w:t>
      </w:r>
      <w:r>
        <w:rPr>
          <w:rFonts w:hint="eastAsia"/>
        </w:rPr>
        <w:t>走系统</w:t>
      </w:r>
      <w:r>
        <w:t>上，则</w:t>
      </w:r>
      <w:r>
        <w:rPr>
          <w:rFonts w:hint="eastAsia"/>
        </w:rPr>
        <w:t>采购人自行</w:t>
      </w:r>
      <w:r>
        <w:t>规定方式</w:t>
      </w:r>
      <w:r>
        <w:rPr>
          <w:rFonts w:hint="eastAsia"/>
        </w:rPr>
        <w:t>）</w:t>
      </w:r>
    </w:p>
    <w:p w14:paraId="2F61D27E"/>
    <w:p w14:paraId="05D2132F">
      <w:r>
        <w:drawing>
          <wp:inline distT="0" distB="0" distL="0" distR="0">
            <wp:extent cx="5489575" cy="234315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75"/>
                    <a:stretch>
                      <a:fillRect/>
                    </a:stretch>
                  </pic:blipFill>
                  <pic:spPr>
                    <a:xfrm>
                      <a:off x="0" y="0"/>
                      <a:ext cx="5492928" cy="2344381"/>
                    </a:xfrm>
                    <a:prstGeom prst="rect">
                      <a:avLst/>
                    </a:prstGeom>
                  </pic:spPr>
                </pic:pic>
              </a:graphicData>
            </a:graphic>
          </wp:inline>
        </w:drawing>
      </w:r>
    </w:p>
    <w:p w14:paraId="04A2DAF3"/>
    <w:p w14:paraId="08570EF9">
      <w:pPr>
        <w:jc w:val="center"/>
      </w:pPr>
    </w:p>
    <w:p w14:paraId="0C24F814">
      <w:r>
        <w:rPr>
          <w:rFonts w:hint="eastAsia"/>
        </w:rPr>
        <w:t>在“电子件管理”中，上传电子件，点击“发布”，发布招标公告，不需要审核（</w:t>
      </w:r>
      <w:r>
        <w:rPr>
          <w:rFonts w:hint="eastAsia"/>
          <w:color w:val="FF0000"/>
        </w:rPr>
        <w:t>自行采购采购公告不需要审核</w:t>
      </w:r>
      <w:r>
        <w:rPr>
          <w:rFonts w:hint="eastAsia"/>
        </w:rPr>
        <w:t>）。</w:t>
      </w:r>
    </w:p>
    <w:p w14:paraId="262473EB">
      <w:pPr>
        <w:jc w:val="center"/>
      </w:pPr>
      <w:r>
        <w:drawing>
          <wp:inline distT="0" distB="0" distL="0" distR="0">
            <wp:extent cx="5486400" cy="668655"/>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76"/>
                    <a:stretch>
                      <a:fillRect/>
                    </a:stretch>
                  </pic:blipFill>
                  <pic:spPr>
                    <a:xfrm>
                      <a:off x="0" y="0"/>
                      <a:ext cx="5486400" cy="668655"/>
                    </a:xfrm>
                    <a:prstGeom prst="rect">
                      <a:avLst/>
                    </a:prstGeom>
                  </pic:spPr>
                </pic:pic>
              </a:graphicData>
            </a:graphic>
          </wp:inline>
        </w:drawing>
      </w:r>
    </w:p>
    <w:p w14:paraId="563A6687">
      <w:pPr>
        <w:rPr>
          <w:b/>
          <w:color w:val="FF0000"/>
        </w:rPr>
      </w:pPr>
      <w:r>
        <w:rPr>
          <w:b/>
          <w:color w:val="FF0000"/>
        </w:rPr>
        <w:t>注</w:t>
      </w:r>
      <w:r>
        <w:rPr>
          <w:rFonts w:hint="eastAsia"/>
          <w:b/>
          <w:color w:val="FF0000"/>
        </w:rPr>
        <w:t>：</w:t>
      </w:r>
    </w:p>
    <w:p w14:paraId="14A8737A">
      <w:pPr>
        <w:rPr>
          <w:b/>
          <w:color w:val="FF0000"/>
        </w:rPr>
      </w:pPr>
      <w:r>
        <w:rPr>
          <w:rFonts w:hint="eastAsia"/>
          <w:b/>
          <w:color w:val="FF0000"/>
        </w:rPr>
        <w:t>1）对于邀请供应商的方式为公告征集的项目，该项目必须发布采购公告；</w:t>
      </w:r>
    </w:p>
    <w:p w14:paraId="38753AAE">
      <w:pPr>
        <w:rPr>
          <w:b/>
          <w:color w:val="FF0000"/>
        </w:rPr>
      </w:pPr>
      <w:r>
        <w:rPr>
          <w:rFonts w:hint="eastAsia"/>
          <w:b/>
          <w:color w:val="FF0000"/>
        </w:rPr>
        <w:t>2）对于邀请供应商的方式为推荐或者是供应商库抽取的项目，该项目可以发布也可以不发布采购公告（不发布采购公告的，可以直接发布结果公示）；</w:t>
      </w:r>
    </w:p>
    <w:p w14:paraId="7A3BD501">
      <w:pPr>
        <w:rPr>
          <w:b/>
          <w:color w:val="FF0000"/>
        </w:rPr>
      </w:pPr>
      <w:r>
        <w:rPr>
          <w:rFonts w:hint="eastAsia"/>
          <w:b/>
          <w:color w:val="FF0000"/>
        </w:rPr>
        <w:t>3）如果需对采购公告进行变更的，可以发布变更公告，操作与采购公告相似。</w:t>
      </w:r>
    </w:p>
    <w:p w14:paraId="33EC62B1"/>
    <w:p w14:paraId="23EC3B41"/>
    <w:p w14:paraId="2794E0B7">
      <w:pPr>
        <w:pStyle w:val="3"/>
      </w:pPr>
      <w:bookmarkStart w:id="26" w:name="_Toc27043"/>
      <w:r>
        <w:t>打印专家抽取申请表</w:t>
      </w:r>
      <w:bookmarkEnd w:id="26"/>
    </w:p>
    <w:p w14:paraId="17F6089B">
      <w:r>
        <w:rPr>
          <w:rFonts w:hint="eastAsia"/>
        </w:rPr>
        <w:t>在项目开标之前，采购单位可以在该菜单中，新增专家抽取申请，如图所示：</w:t>
      </w:r>
    </w:p>
    <w:p w14:paraId="331CC321">
      <w:pPr>
        <w:jc w:val="center"/>
      </w:pPr>
      <w:r>
        <w:drawing>
          <wp:inline distT="0" distB="0" distL="0" distR="0">
            <wp:extent cx="5530850" cy="1209675"/>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77"/>
                    <a:stretch>
                      <a:fillRect/>
                    </a:stretch>
                  </pic:blipFill>
                  <pic:spPr>
                    <a:xfrm>
                      <a:off x="0" y="0"/>
                      <a:ext cx="5582894" cy="1221258"/>
                    </a:xfrm>
                    <a:prstGeom prst="rect">
                      <a:avLst/>
                    </a:prstGeom>
                  </pic:spPr>
                </pic:pic>
              </a:graphicData>
            </a:graphic>
          </wp:inline>
        </w:drawing>
      </w:r>
    </w:p>
    <w:p w14:paraId="33EDB1ED">
      <w:r>
        <w:t>勾选到需要打印专家抽取申请表的项目</w:t>
      </w:r>
      <w:r>
        <w:rPr>
          <w:rFonts w:hint="eastAsia"/>
        </w:rPr>
        <w:t>，点击确认选择按钮，如下图所示：</w:t>
      </w:r>
    </w:p>
    <w:p w14:paraId="4BDB6C78">
      <w:pPr>
        <w:jc w:val="center"/>
      </w:pPr>
      <w:r>
        <w:drawing>
          <wp:inline distT="0" distB="0" distL="0" distR="0">
            <wp:extent cx="5410200" cy="2366645"/>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78"/>
                    <a:stretch>
                      <a:fillRect/>
                    </a:stretch>
                  </pic:blipFill>
                  <pic:spPr>
                    <a:xfrm>
                      <a:off x="0" y="0"/>
                      <a:ext cx="5410200" cy="2366963"/>
                    </a:xfrm>
                    <a:prstGeom prst="rect">
                      <a:avLst/>
                    </a:prstGeom>
                  </pic:spPr>
                </pic:pic>
              </a:graphicData>
            </a:graphic>
          </wp:inline>
        </w:drawing>
      </w:r>
    </w:p>
    <w:p w14:paraId="11B77EBD">
      <w:r>
        <w:rPr>
          <w:rFonts w:hint="eastAsia"/>
        </w:rPr>
        <w:t>完善相关信息，如项目信息、评审专业及人数、采购单位监督人、采购人代表和回避单位之后，点击下一步生成专家抽取申请表，并完成签章操作。并打印专家抽取申请表，如下图所示：</w:t>
      </w:r>
    </w:p>
    <w:p w14:paraId="73D69783"/>
    <w:p w14:paraId="78305210">
      <w:r>
        <w:rPr>
          <w:rFonts w:hint="eastAsia"/>
        </w:rPr>
        <w:t>审核</w:t>
      </w:r>
      <w:r>
        <w:t>流程：</w:t>
      </w:r>
      <w:r>
        <w:rPr>
          <w:rFonts w:hint="eastAsia"/>
        </w:rPr>
        <w:t>部门</w:t>
      </w:r>
      <w:r>
        <w:t>委托社会代理---</w:t>
      </w:r>
      <w:r>
        <w:rPr>
          <w:rFonts w:hint="eastAsia"/>
        </w:rPr>
        <w:t>主管单位</w:t>
      </w:r>
      <w:r>
        <w:t>审核</w:t>
      </w:r>
      <w:r>
        <w:rPr>
          <w:rFonts w:hint="eastAsia"/>
        </w:rPr>
        <w:t>签章</w:t>
      </w:r>
    </w:p>
    <w:p w14:paraId="7FB21DA6">
      <w:r>
        <w:t xml:space="preserve">          </w:t>
      </w:r>
      <w:r>
        <w:rPr>
          <w:rFonts w:hint="eastAsia"/>
        </w:rPr>
        <w:t>分散</w:t>
      </w:r>
      <w:r>
        <w:t>委托社会代理---</w:t>
      </w:r>
      <w:r>
        <w:rPr>
          <w:rFonts w:hint="eastAsia"/>
        </w:rPr>
        <w:t>预算单位审核</w:t>
      </w:r>
      <w:r>
        <w:t>签章</w:t>
      </w:r>
    </w:p>
    <w:p w14:paraId="7EB5D3B1">
      <w:r>
        <w:t xml:space="preserve">          </w:t>
      </w:r>
      <w:r>
        <w:rPr>
          <w:rFonts w:hint="eastAsia"/>
        </w:rPr>
        <w:t>集采</w:t>
      </w:r>
      <w:r>
        <w:t>中心</w:t>
      </w:r>
      <w:r>
        <w:rPr>
          <w:rFonts w:hint="eastAsia"/>
        </w:rPr>
        <w:t>/部门自行/分散</w:t>
      </w:r>
      <w:r>
        <w:t>自行</w:t>
      </w:r>
      <w:r>
        <w:rPr>
          <w:rFonts w:hint="eastAsia"/>
        </w:rPr>
        <w:t>-</w:t>
      </w:r>
      <w:r>
        <w:t>-------直接提</w:t>
      </w:r>
      <w:r>
        <w:rPr>
          <w:rFonts w:hint="eastAsia"/>
        </w:rPr>
        <w:t>交</w:t>
      </w:r>
      <w:r>
        <w:t>审核通过（</w:t>
      </w:r>
      <w:r>
        <w:rPr>
          <w:rFonts w:hint="eastAsia"/>
        </w:rPr>
        <w:t>集采</w:t>
      </w:r>
      <w:r>
        <w:t>中心签章/</w:t>
      </w:r>
      <w:r>
        <w:rPr>
          <w:rFonts w:hint="eastAsia"/>
        </w:rPr>
        <w:t>主管</w:t>
      </w:r>
      <w:r>
        <w:t>单位签章</w:t>
      </w:r>
      <w:r>
        <w:rPr>
          <w:rFonts w:hint="eastAsia"/>
        </w:rPr>
        <w:t>/预算</w:t>
      </w:r>
      <w:r>
        <w:t>单位签章）</w:t>
      </w:r>
    </w:p>
    <w:p w14:paraId="50F4657B">
      <w:pPr>
        <w:jc w:val="center"/>
      </w:pPr>
      <w:r>
        <w:drawing>
          <wp:inline distT="0" distB="0" distL="0" distR="0">
            <wp:extent cx="5310505" cy="2391410"/>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79"/>
                    <a:stretch>
                      <a:fillRect/>
                    </a:stretch>
                  </pic:blipFill>
                  <pic:spPr>
                    <a:xfrm>
                      <a:off x="0" y="0"/>
                      <a:ext cx="5319208" cy="2395511"/>
                    </a:xfrm>
                    <a:prstGeom prst="rect">
                      <a:avLst/>
                    </a:prstGeom>
                  </pic:spPr>
                </pic:pic>
              </a:graphicData>
            </a:graphic>
          </wp:inline>
        </w:drawing>
      </w:r>
    </w:p>
    <w:p w14:paraId="5357E2A4"/>
    <w:p w14:paraId="5933B6B1"/>
    <w:p w14:paraId="23F7593E">
      <w:pPr>
        <w:pStyle w:val="3"/>
      </w:pPr>
      <w:bookmarkStart w:id="27" w:name="_Toc12570"/>
      <w:r>
        <w:rPr>
          <w:rFonts w:hint="eastAsia"/>
        </w:rPr>
        <w:t>保证金（保证金</w:t>
      </w:r>
      <w:r>
        <w:t>退款</w:t>
      </w:r>
      <w:r>
        <w:rPr>
          <w:rFonts w:hint="eastAsia"/>
        </w:rPr>
        <w:t>）</w:t>
      </w:r>
      <w:bookmarkEnd w:id="27"/>
    </w:p>
    <w:p w14:paraId="14FF0BB6"/>
    <w:p w14:paraId="26763B09">
      <w:r>
        <w:drawing>
          <wp:inline distT="0" distB="0" distL="0" distR="0">
            <wp:extent cx="5274310" cy="2165985"/>
            <wp:effectExtent l="0" t="0" r="0" b="0"/>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80"/>
                    <a:stretch>
                      <a:fillRect/>
                    </a:stretch>
                  </pic:blipFill>
                  <pic:spPr>
                    <a:xfrm>
                      <a:off x="0" y="0"/>
                      <a:ext cx="5274310" cy="2165985"/>
                    </a:xfrm>
                    <a:prstGeom prst="rect">
                      <a:avLst/>
                    </a:prstGeom>
                  </pic:spPr>
                </pic:pic>
              </a:graphicData>
            </a:graphic>
          </wp:inline>
        </w:drawing>
      </w:r>
    </w:p>
    <w:p w14:paraId="0B2ED4C7">
      <w:r>
        <w:rPr>
          <w:rFonts w:hint="eastAsia"/>
          <w:b/>
          <w:bCs/>
        </w:rPr>
        <w:t>保证金退款</w:t>
      </w:r>
      <w:r>
        <w:rPr>
          <w:rFonts w:hint="eastAsia"/>
        </w:rPr>
        <w:t>：招标方式废标处理审核通过后或结果公示审核通过后，可新增多次保证金退款申请，先退未中标人，再退中标人的保证金。</w:t>
      </w:r>
    </w:p>
    <w:p w14:paraId="5B1232E9"/>
    <w:p w14:paraId="392ECC89">
      <w:pPr>
        <w:pStyle w:val="3"/>
      </w:pPr>
      <w:bookmarkStart w:id="28" w:name="_Toc17456"/>
      <w:r>
        <w:rPr>
          <w:rFonts w:hint="eastAsia"/>
        </w:rPr>
        <w:t>结果公示</w:t>
      </w:r>
      <w:bookmarkEnd w:id="28"/>
    </w:p>
    <w:p w14:paraId="322C27B0"/>
    <w:p w14:paraId="5901C390">
      <w:r>
        <w:rPr>
          <w:rFonts w:hint="eastAsia"/>
        </w:rPr>
        <w:t>如果是公开招标的项目，在开评标结束之后，采购单位可以在业务系统中同步评标数据并发布公示；其他方式（非公开招标）的项目，采购单位自行填写中标单位相关数据。点击“新增结果公示”按钮，如下图所示：</w:t>
      </w:r>
    </w:p>
    <w:p w14:paraId="1D77F1BC">
      <w:pPr>
        <w:jc w:val="center"/>
      </w:pPr>
      <w:r>
        <w:drawing>
          <wp:inline distT="0" distB="0" distL="0" distR="0">
            <wp:extent cx="5236845" cy="1273810"/>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81"/>
                    <a:stretch>
                      <a:fillRect/>
                    </a:stretch>
                  </pic:blipFill>
                  <pic:spPr>
                    <a:xfrm>
                      <a:off x="0" y="0"/>
                      <a:ext cx="5264050" cy="1280676"/>
                    </a:xfrm>
                    <a:prstGeom prst="rect">
                      <a:avLst/>
                    </a:prstGeom>
                  </pic:spPr>
                </pic:pic>
              </a:graphicData>
            </a:graphic>
          </wp:inline>
        </w:drawing>
      </w:r>
    </w:p>
    <w:p w14:paraId="076FF2E8">
      <w:r>
        <w:t>选择需要发布结果公示的项目</w:t>
      </w:r>
      <w:r>
        <w:rPr>
          <w:rFonts w:hint="eastAsia"/>
        </w:rPr>
        <w:t>，点击“确认选择”按钮，如图所示：</w:t>
      </w:r>
    </w:p>
    <w:p w14:paraId="4F56E353">
      <w:pPr>
        <w:jc w:val="center"/>
      </w:pPr>
      <w:r>
        <w:drawing>
          <wp:inline distT="0" distB="0" distL="0" distR="0">
            <wp:extent cx="4952365" cy="2336165"/>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82"/>
                    <a:stretch>
                      <a:fillRect/>
                    </a:stretch>
                  </pic:blipFill>
                  <pic:spPr>
                    <a:xfrm>
                      <a:off x="0" y="0"/>
                      <a:ext cx="4961719" cy="2340736"/>
                    </a:xfrm>
                    <a:prstGeom prst="rect">
                      <a:avLst/>
                    </a:prstGeom>
                  </pic:spPr>
                </pic:pic>
              </a:graphicData>
            </a:graphic>
          </wp:inline>
        </w:drawing>
      </w:r>
    </w:p>
    <w:p w14:paraId="4A6C6318">
      <w:pPr>
        <w:jc w:val="center"/>
      </w:pPr>
    </w:p>
    <w:p w14:paraId="47610D59">
      <w:pPr>
        <w:jc w:val="both"/>
        <w:rPr>
          <w:rFonts w:hint="eastAsia"/>
          <w:lang w:eastAsia="zh-CN"/>
        </w:rPr>
      </w:pPr>
    </w:p>
    <w:p w14:paraId="7A6A41A4">
      <w:pPr>
        <w:jc w:val="both"/>
        <w:rPr>
          <w:rFonts w:hint="eastAsia"/>
          <w:lang w:eastAsia="zh-CN"/>
        </w:rPr>
      </w:pPr>
    </w:p>
    <w:p w14:paraId="631C01CE">
      <w:pPr>
        <w:jc w:val="both"/>
        <w:rPr>
          <w:rFonts w:hint="eastAsia"/>
          <w:color w:val="FF0000"/>
          <w:lang w:eastAsia="zh-CN"/>
        </w:rPr>
      </w:pPr>
      <w:r>
        <w:rPr>
          <w:rFonts w:hint="eastAsia"/>
          <w:color w:val="FF0000"/>
          <w:lang w:eastAsia="zh-CN"/>
        </w:rPr>
        <w:t>注：按照省里要求，发布正常结果公示时同时需要生成中标通知书。该功能大致已于</w:t>
      </w:r>
      <w:r>
        <w:rPr>
          <w:rFonts w:hint="eastAsia"/>
          <w:color w:val="FF0000"/>
          <w:lang w:val="en-US" w:eastAsia="zh-CN"/>
        </w:rPr>
        <w:t>2019年6月份左右上线使用。</w:t>
      </w:r>
      <w:r>
        <w:rPr>
          <w:rFonts w:hint="eastAsia"/>
          <w:color w:val="FF0000"/>
          <w:lang w:eastAsia="zh-CN"/>
        </w:rPr>
        <w:t>在结果公示中完成了中标通知书的项目无需再去“中标通知书”，老项目（上线使用前已经发布了结果公示的项目需继续新增中标通知书完成通知书功能）。</w:t>
      </w:r>
    </w:p>
    <w:p w14:paraId="242C8D0F">
      <w:pPr>
        <w:jc w:val="both"/>
        <w:rPr>
          <w:rFonts w:hint="eastAsia"/>
          <w:lang w:eastAsia="zh-CN"/>
        </w:rPr>
      </w:pPr>
    </w:p>
    <w:p w14:paraId="7E6DA810">
      <w:pPr>
        <w:pStyle w:val="3"/>
        <w:numPr>
          <w:ilvl w:val="0"/>
          <w:numId w:val="0"/>
        </w:numPr>
        <w:ind w:left="284"/>
      </w:pPr>
      <w:bookmarkStart w:id="29" w:name="_Toc11950"/>
      <w:r>
        <w:rPr>
          <w:rFonts w:hint="eastAsia"/>
        </w:rPr>
        <w:t>4</w:t>
      </w:r>
      <w:r>
        <w:t>.9.</w:t>
      </w:r>
      <w:r>
        <w:rPr>
          <w:rFonts w:hint="eastAsia"/>
        </w:rPr>
        <w:t>标后</w:t>
      </w:r>
      <w:r>
        <w:t>相关数据</w:t>
      </w:r>
      <w:bookmarkEnd w:id="29"/>
    </w:p>
    <w:p w14:paraId="489F3140">
      <w:r>
        <w:rPr>
          <w:rFonts w:hint="eastAsia"/>
        </w:rPr>
        <w:t>标后</w:t>
      </w:r>
      <w:r>
        <w:t>相关数据有</w:t>
      </w:r>
      <w:r>
        <w:rPr>
          <w:rFonts w:hint="eastAsia"/>
        </w:rPr>
        <w:t>招标方式（废标</w:t>
      </w:r>
      <w:r>
        <w:t>）</w:t>
      </w:r>
      <w:r>
        <w:rPr>
          <w:rFonts w:hint="eastAsia"/>
        </w:rPr>
        <w:t>处理</w:t>
      </w:r>
      <w:r>
        <w:t>、</w:t>
      </w:r>
      <w:r>
        <w:rPr>
          <w:rFonts w:hint="eastAsia"/>
        </w:rPr>
        <w:t>非招标方式（废标</w:t>
      </w:r>
      <w:r>
        <w:t>）</w:t>
      </w:r>
      <w:r>
        <w:rPr>
          <w:rFonts w:hint="eastAsia"/>
        </w:rPr>
        <w:t>处理、</w:t>
      </w:r>
      <w:r>
        <w:t>投标报名情况和标后数据下载，便于</w:t>
      </w:r>
      <w:r>
        <w:rPr>
          <w:rFonts w:hint="eastAsia"/>
        </w:rPr>
        <w:t>采购</w:t>
      </w:r>
      <w:r>
        <w:t>单位</w:t>
      </w:r>
      <w:r>
        <w:rPr>
          <w:rFonts w:hint="eastAsia"/>
        </w:rPr>
        <w:t>查看</w:t>
      </w:r>
      <w:r>
        <w:t>废标原因和</w:t>
      </w:r>
      <w:r>
        <w:rPr>
          <w:rFonts w:hint="eastAsia"/>
        </w:rPr>
        <w:t>招投标业务</w:t>
      </w:r>
      <w:r>
        <w:t>数据。</w:t>
      </w:r>
    </w:p>
    <w:p w14:paraId="2C2BD427">
      <w:r>
        <w:drawing>
          <wp:inline distT="0" distB="0" distL="0" distR="0">
            <wp:extent cx="5681980" cy="2357755"/>
            <wp:effectExtent l="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83"/>
                    <a:stretch>
                      <a:fillRect/>
                    </a:stretch>
                  </pic:blipFill>
                  <pic:spPr>
                    <a:xfrm>
                      <a:off x="0" y="0"/>
                      <a:ext cx="5705515" cy="2367965"/>
                    </a:xfrm>
                    <a:prstGeom prst="rect">
                      <a:avLst/>
                    </a:prstGeom>
                  </pic:spPr>
                </pic:pic>
              </a:graphicData>
            </a:graphic>
          </wp:inline>
        </w:drawing>
      </w:r>
    </w:p>
    <w:p w14:paraId="7D8701F5"/>
    <w:p w14:paraId="0CF57652">
      <w:pPr>
        <w:pStyle w:val="2"/>
        <w:rPr>
          <w:kern w:val="0"/>
        </w:rPr>
      </w:pPr>
      <w:bookmarkStart w:id="30" w:name="_Toc9057"/>
      <w:r>
        <w:rPr>
          <w:rFonts w:hint="eastAsia"/>
          <w:kern w:val="0"/>
        </w:rPr>
        <w:t>协议采购</w:t>
      </w:r>
      <w:bookmarkEnd w:id="30"/>
    </w:p>
    <w:p w14:paraId="0900CF3E">
      <w:pPr>
        <w:pStyle w:val="3"/>
      </w:pPr>
      <w:bookmarkStart w:id="31" w:name="_Toc2674"/>
      <w:r>
        <w:rPr>
          <w:rFonts w:hint="eastAsia"/>
        </w:rPr>
        <w:t>挑选协议商品</w:t>
      </w:r>
      <w:bookmarkEnd w:id="31"/>
    </w:p>
    <w:p w14:paraId="1F5E1253">
      <w:r>
        <w:rPr>
          <w:rFonts w:hint="eastAsia"/>
        </w:rPr>
        <w:t>采购单位业务管理，进入菜单“协议采购</w:t>
      </w:r>
      <w:r>
        <w:t>—</w:t>
      </w:r>
      <w:r>
        <w:rPr>
          <w:rFonts w:hint="eastAsia"/>
        </w:rPr>
        <w:t>挑选协议商品”，如下图：</w:t>
      </w:r>
    </w:p>
    <w:p w14:paraId="5105701B">
      <w:r>
        <w:drawing>
          <wp:inline distT="0" distB="0" distL="0" distR="0">
            <wp:extent cx="6015355" cy="814070"/>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84"/>
                    <a:stretch>
                      <a:fillRect/>
                    </a:stretch>
                  </pic:blipFill>
                  <pic:spPr>
                    <a:xfrm>
                      <a:off x="0" y="0"/>
                      <a:ext cx="6118782" cy="828521"/>
                    </a:xfrm>
                    <a:prstGeom prst="rect">
                      <a:avLst/>
                    </a:prstGeom>
                  </pic:spPr>
                </pic:pic>
              </a:graphicData>
            </a:graphic>
          </wp:inline>
        </w:drawing>
      </w:r>
    </w:p>
    <w:p w14:paraId="4FFA3E69">
      <w:pPr>
        <w:rPr>
          <w:color w:val="FF0000"/>
        </w:rPr>
      </w:pPr>
      <w:r>
        <w:rPr>
          <w:rFonts w:hint="eastAsia"/>
        </w:rPr>
        <w:t xml:space="preserve">        </w:t>
      </w:r>
      <w:r>
        <w:rPr>
          <w:rFonts w:hint="eastAsia"/>
          <w:color w:val="FF0000"/>
        </w:rPr>
        <w:t>这里显示</w:t>
      </w:r>
      <w:r>
        <w:rPr>
          <w:color w:val="FF0000"/>
        </w:rPr>
        <w:t>的是未</w:t>
      </w:r>
      <w:r>
        <w:rPr>
          <w:rFonts w:hint="eastAsia"/>
          <w:color w:val="FF0000"/>
        </w:rPr>
        <w:t>挑选</w:t>
      </w:r>
      <w:r>
        <w:rPr>
          <w:color w:val="FF0000"/>
        </w:rPr>
        <w:t>的</w:t>
      </w:r>
      <w:r>
        <w:rPr>
          <w:rFonts w:hint="eastAsia"/>
          <w:color w:val="FF0000"/>
        </w:rPr>
        <w:t>协议采购项目</w:t>
      </w:r>
      <w:r>
        <w:rPr>
          <w:color w:val="FF0000"/>
        </w:rPr>
        <w:t>，点击右边的指定商品可进入</w:t>
      </w:r>
      <w:r>
        <w:rPr>
          <w:rFonts w:hint="eastAsia"/>
          <w:color w:val="FF0000"/>
        </w:rPr>
        <w:t>挑选商品的</w:t>
      </w:r>
      <w:r>
        <w:rPr>
          <w:color w:val="FF0000"/>
        </w:rPr>
        <w:t>页面</w:t>
      </w:r>
    </w:p>
    <w:p w14:paraId="426A91F9">
      <w:r>
        <w:rPr>
          <w:rFonts w:hint="eastAsia"/>
        </w:rPr>
        <w:t>点击“指定商品”按钮后，选择竞价方式。</w:t>
      </w:r>
    </w:p>
    <w:p w14:paraId="4123042C">
      <w:pPr>
        <w:numPr>
          <w:ilvl w:val="0"/>
          <w:numId w:val="4"/>
        </w:numPr>
      </w:pPr>
      <w:r>
        <w:rPr>
          <w:rFonts w:hint="eastAsia"/>
        </w:rPr>
        <w:t>若采购单位是省本级的，默认的竞价方式是“协议竞价”，点击“指定商品”按钮，直接进入页面选取品牌。</w:t>
      </w:r>
    </w:p>
    <w:p w14:paraId="406CDD57">
      <w:pPr>
        <w:numPr>
          <w:ilvl w:val="0"/>
          <w:numId w:val="4"/>
        </w:numPr>
      </w:pPr>
      <w:r>
        <w:rPr>
          <w:rFonts w:hint="eastAsia"/>
        </w:rPr>
        <w:t>若采购单位是市本级或者下属县区的，点击“指定商品”按钮，会有一个“请选择竞价方式”，有“协议竞价”和“协议采购（不竞价）”两种方式。</w:t>
      </w:r>
    </w:p>
    <w:p w14:paraId="29250730">
      <w:r>
        <w:drawing>
          <wp:inline distT="0" distB="0" distL="0" distR="0">
            <wp:extent cx="5518785" cy="2357755"/>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85"/>
                    <a:stretch>
                      <a:fillRect/>
                    </a:stretch>
                  </pic:blipFill>
                  <pic:spPr>
                    <a:xfrm>
                      <a:off x="0" y="0"/>
                      <a:ext cx="5530287" cy="2362595"/>
                    </a:xfrm>
                    <a:prstGeom prst="rect">
                      <a:avLst/>
                    </a:prstGeom>
                  </pic:spPr>
                </pic:pic>
              </a:graphicData>
            </a:graphic>
          </wp:inline>
        </w:drawing>
      </w:r>
    </w:p>
    <w:p w14:paraId="790A104A">
      <w:r>
        <w:rPr>
          <w:rFonts w:hint="eastAsia"/>
        </w:rPr>
        <w:t>说明：</w:t>
      </w:r>
    </w:p>
    <w:p w14:paraId="6422C825">
      <w:pPr>
        <w:numPr>
          <w:ilvl w:val="0"/>
          <w:numId w:val="5"/>
        </w:numPr>
      </w:pPr>
      <w:r>
        <w:rPr>
          <w:rFonts w:hint="eastAsia"/>
        </w:rPr>
        <w:t>协议竞价是挑选商品后，通过多家供应商报价（48小时之内），取最低价成交，且报价供应商不少于三家，时间截至后，采购单位才能指定中标单位。</w:t>
      </w:r>
    </w:p>
    <w:p w14:paraId="527B4845">
      <w:pPr>
        <w:numPr>
          <w:ilvl w:val="0"/>
          <w:numId w:val="5"/>
        </w:numPr>
      </w:pPr>
      <w:r>
        <w:rPr>
          <w:rFonts w:hint="eastAsia"/>
        </w:rPr>
        <w:t>协议采购（不竞价）是先挑商品，然后指定其中一家供应商报价，报价后，采购单位可以立即指定中标单位，没有时间限制。</w:t>
      </w:r>
    </w:p>
    <w:p w14:paraId="643EC629">
      <w:r>
        <w:rPr>
          <w:rFonts w:hint="eastAsia"/>
        </w:rPr>
        <w:t>上述步骤操作完后，进入选择商品页面，如下图：</w:t>
      </w:r>
    </w:p>
    <w:p w14:paraId="1C391745"/>
    <w:p w14:paraId="7FBCC6EC">
      <w:r>
        <w:drawing>
          <wp:inline distT="0" distB="0" distL="0" distR="0">
            <wp:extent cx="5653405" cy="2496185"/>
            <wp:effectExtent l="0" t="0" r="0" b="0"/>
            <wp:docPr id="192" name="图片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图片 192"/>
                    <pic:cNvPicPr>
                      <a:picLocks noChangeAspect="1"/>
                    </pic:cNvPicPr>
                  </pic:nvPicPr>
                  <pic:blipFill>
                    <a:blip r:embed="rId86"/>
                    <a:stretch>
                      <a:fillRect/>
                    </a:stretch>
                  </pic:blipFill>
                  <pic:spPr>
                    <a:xfrm>
                      <a:off x="0" y="0"/>
                      <a:ext cx="5669148" cy="2503149"/>
                    </a:xfrm>
                    <a:prstGeom prst="rect">
                      <a:avLst/>
                    </a:prstGeom>
                  </pic:spPr>
                </pic:pic>
              </a:graphicData>
            </a:graphic>
          </wp:inline>
        </w:drawing>
      </w:r>
    </w:p>
    <w:p w14:paraId="1651B4AF"/>
    <w:p w14:paraId="6EFD60A8">
      <w:r>
        <w:rPr>
          <w:rFonts w:hint="eastAsia"/>
        </w:rPr>
        <w:t>点击“选取单一品牌”或“选取多种品牌”后进入商品库挑选商品。参考图片如下图所示：</w:t>
      </w:r>
    </w:p>
    <w:p w14:paraId="4E9DF51C"/>
    <w:p w14:paraId="32EC6E76"/>
    <w:p w14:paraId="4909AD23"/>
    <w:p w14:paraId="4D80B2D7"/>
    <w:p w14:paraId="639D3DB1">
      <w:r>
        <w:drawing>
          <wp:inline distT="0" distB="0" distL="0" distR="0">
            <wp:extent cx="5589905" cy="1189355"/>
            <wp:effectExtent l="0" t="0" r="0" b="0"/>
            <wp:docPr id="193" name="图片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图片 193"/>
                    <pic:cNvPicPr>
                      <a:picLocks noChangeAspect="1"/>
                    </pic:cNvPicPr>
                  </pic:nvPicPr>
                  <pic:blipFill>
                    <a:blip r:embed="rId87"/>
                    <a:stretch>
                      <a:fillRect/>
                    </a:stretch>
                  </pic:blipFill>
                  <pic:spPr>
                    <a:xfrm>
                      <a:off x="0" y="0"/>
                      <a:ext cx="5668038" cy="1206425"/>
                    </a:xfrm>
                    <a:prstGeom prst="rect">
                      <a:avLst/>
                    </a:prstGeom>
                  </pic:spPr>
                </pic:pic>
              </a:graphicData>
            </a:graphic>
          </wp:inline>
        </w:drawing>
      </w:r>
    </w:p>
    <w:p w14:paraId="0C929197">
      <w:r>
        <w:rPr>
          <w:rFonts w:hint="eastAsia"/>
        </w:rPr>
        <w:t>点击所需</w:t>
      </w:r>
      <w:r>
        <w:t>商品类</w:t>
      </w:r>
      <w:r>
        <w:rPr>
          <w:rFonts w:hint="eastAsia"/>
        </w:rPr>
        <w:t>别，</w:t>
      </w:r>
      <w:r>
        <w:t>进入挑选</w:t>
      </w:r>
      <w:r>
        <w:rPr>
          <w:rFonts w:hint="eastAsia"/>
        </w:rPr>
        <w:t>商品品牌产品</w:t>
      </w:r>
      <w:r>
        <w:t>。</w:t>
      </w:r>
    </w:p>
    <w:p w14:paraId="6AC88514">
      <w:r>
        <w:drawing>
          <wp:inline distT="0" distB="0" distL="0" distR="0">
            <wp:extent cx="5457190" cy="1729740"/>
            <wp:effectExtent l="0" t="0" r="0" b="0"/>
            <wp:docPr id="195" name="图片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图片 195"/>
                    <pic:cNvPicPr>
                      <a:picLocks noChangeAspect="1"/>
                    </pic:cNvPicPr>
                  </pic:nvPicPr>
                  <pic:blipFill>
                    <a:blip r:embed="rId88"/>
                    <a:stretch>
                      <a:fillRect/>
                    </a:stretch>
                  </pic:blipFill>
                  <pic:spPr>
                    <a:xfrm>
                      <a:off x="0" y="0"/>
                      <a:ext cx="5502672" cy="1744501"/>
                    </a:xfrm>
                    <a:prstGeom prst="rect">
                      <a:avLst/>
                    </a:prstGeom>
                  </pic:spPr>
                </pic:pic>
              </a:graphicData>
            </a:graphic>
          </wp:inline>
        </w:drawing>
      </w:r>
    </w:p>
    <w:p w14:paraId="5489612B"/>
    <w:p w14:paraId="1555458E"/>
    <w:p w14:paraId="3B6E569E">
      <w:r>
        <w:drawing>
          <wp:inline distT="0" distB="0" distL="0" distR="0">
            <wp:extent cx="5697855" cy="2228850"/>
            <wp:effectExtent l="0" t="0" r="0" b="0"/>
            <wp:docPr id="198" name="图片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图片 198"/>
                    <pic:cNvPicPr>
                      <a:picLocks noChangeAspect="1"/>
                    </pic:cNvPicPr>
                  </pic:nvPicPr>
                  <pic:blipFill>
                    <a:blip r:embed="rId89"/>
                    <a:stretch>
                      <a:fillRect/>
                    </a:stretch>
                  </pic:blipFill>
                  <pic:spPr>
                    <a:xfrm>
                      <a:off x="0" y="0"/>
                      <a:ext cx="5708244" cy="2232914"/>
                    </a:xfrm>
                    <a:prstGeom prst="rect">
                      <a:avLst/>
                    </a:prstGeom>
                  </pic:spPr>
                </pic:pic>
              </a:graphicData>
            </a:graphic>
          </wp:inline>
        </w:drawing>
      </w:r>
    </w:p>
    <w:p w14:paraId="58F5AC1C"/>
    <w:p w14:paraId="435118DE">
      <w:r>
        <w:rPr>
          <w:rFonts w:hint="eastAsia"/>
        </w:rPr>
        <w:t>选好商品后，填写相关信息，点击提交按钮后，该商品就会自动进入竞价系统，有经销商权限的供应商就可以对该商品进行竞价。</w:t>
      </w:r>
    </w:p>
    <w:p w14:paraId="4CD0FF5D">
      <w:pPr>
        <w:ind w:firstLine="422" w:firstLineChars="200"/>
      </w:pPr>
      <w:r>
        <w:rPr>
          <w:rFonts w:hint="eastAsia"/>
          <w:b/>
        </w:rPr>
        <w:t>指定协议中标单位</w:t>
      </w:r>
      <w:r>
        <w:rPr>
          <w:rFonts w:hint="eastAsia"/>
        </w:rPr>
        <w:t>：竞价结束后，采购单位可以在这里指定中标单位，最低价中标原则，如果没有单位进行竞价，可以联系采购办退回竞价项目，重新挑选商品后，进入竞价系统重新竞价。</w:t>
      </w:r>
    </w:p>
    <w:p w14:paraId="745B4684">
      <w:pPr>
        <w:ind w:firstLine="422" w:firstLineChars="200"/>
      </w:pPr>
      <w:r>
        <w:rPr>
          <w:rFonts w:hint="eastAsia"/>
          <w:b/>
        </w:rPr>
        <w:t>商品展示</w:t>
      </w:r>
      <w:r>
        <w:rPr>
          <w:rFonts w:hint="eastAsia"/>
        </w:rPr>
        <w:t>：这里可以查看到商品库的所有商品，采购单位在挑选商品前，可以到这里预先看看有哪些合适的商品。</w:t>
      </w:r>
    </w:p>
    <w:p w14:paraId="632D30AF">
      <w:pPr>
        <w:ind w:firstLine="422" w:firstLineChars="200"/>
      </w:pPr>
      <w:r>
        <w:rPr>
          <w:rFonts w:hint="eastAsia"/>
          <w:b/>
        </w:rPr>
        <w:t>查看竞价情况</w:t>
      </w:r>
      <w:r>
        <w:rPr>
          <w:rFonts w:hint="eastAsia"/>
        </w:rPr>
        <w:t>：这里可以看到本单位所有项目的竞价情况。</w:t>
      </w:r>
    </w:p>
    <w:p w14:paraId="6C6603D8">
      <w:pPr>
        <w:ind w:firstLine="420" w:firstLineChars="200"/>
      </w:pPr>
    </w:p>
    <w:p w14:paraId="5D5F606B">
      <w:pPr>
        <w:pStyle w:val="3"/>
      </w:pPr>
      <w:bookmarkStart w:id="32" w:name="_Toc8369"/>
      <w:r>
        <w:rPr>
          <w:rFonts w:hint="eastAsia"/>
        </w:rPr>
        <w:t>指定协议中标单位</w:t>
      </w:r>
      <w:bookmarkEnd w:id="32"/>
    </w:p>
    <w:p w14:paraId="67224D77">
      <w:pPr>
        <w:ind w:left="425"/>
      </w:pPr>
      <w:r>
        <w:rPr>
          <w:rFonts w:hint="eastAsia"/>
        </w:rPr>
        <w:t>采购单位身份登入，进入菜单“协议采购—指定协议中标单位”，参考图片：</w:t>
      </w:r>
    </w:p>
    <w:p w14:paraId="41C8B944">
      <w:pPr>
        <w:ind w:left="425"/>
      </w:pPr>
      <w:r>
        <w:drawing>
          <wp:inline distT="0" distB="0" distL="0" distR="0">
            <wp:extent cx="5486400" cy="1043940"/>
            <wp:effectExtent l="0" t="0" r="0" b="0"/>
            <wp:docPr id="199" name="图片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图片 199"/>
                    <pic:cNvPicPr>
                      <a:picLocks noChangeAspect="1"/>
                    </pic:cNvPicPr>
                  </pic:nvPicPr>
                  <pic:blipFill>
                    <a:blip r:embed="rId90"/>
                    <a:stretch>
                      <a:fillRect/>
                    </a:stretch>
                  </pic:blipFill>
                  <pic:spPr>
                    <a:xfrm>
                      <a:off x="0" y="0"/>
                      <a:ext cx="5570898" cy="1060459"/>
                    </a:xfrm>
                    <a:prstGeom prst="rect">
                      <a:avLst/>
                    </a:prstGeom>
                  </pic:spPr>
                </pic:pic>
              </a:graphicData>
            </a:graphic>
          </wp:inline>
        </w:drawing>
      </w:r>
    </w:p>
    <w:p w14:paraId="04313A25">
      <w:pPr>
        <w:ind w:left="425"/>
      </w:pPr>
      <w:r>
        <w:rPr>
          <w:rFonts w:hint="eastAsia"/>
        </w:rPr>
        <w:t>点击“指定中标供应商”，弹出下图，点击“确定供应商”按钮，确定中标单位。</w:t>
      </w:r>
    </w:p>
    <w:p w14:paraId="59A8B50A">
      <w:pPr>
        <w:ind w:left="425"/>
      </w:pPr>
      <w:r>
        <w:drawing>
          <wp:inline distT="0" distB="0" distL="0" distR="0">
            <wp:extent cx="5371465" cy="2491105"/>
            <wp:effectExtent l="0" t="0" r="0" b="0"/>
            <wp:docPr id="200" name="图片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图片 200"/>
                    <pic:cNvPicPr>
                      <a:picLocks noChangeAspect="1"/>
                    </pic:cNvPicPr>
                  </pic:nvPicPr>
                  <pic:blipFill>
                    <a:blip r:embed="rId91"/>
                    <a:stretch>
                      <a:fillRect/>
                    </a:stretch>
                  </pic:blipFill>
                  <pic:spPr>
                    <a:xfrm>
                      <a:off x="0" y="0"/>
                      <a:ext cx="5380004" cy="2494968"/>
                    </a:xfrm>
                    <a:prstGeom prst="rect">
                      <a:avLst/>
                    </a:prstGeom>
                  </pic:spPr>
                </pic:pic>
              </a:graphicData>
            </a:graphic>
          </wp:inline>
        </w:drawing>
      </w:r>
    </w:p>
    <w:p w14:paraId="425A8B8D">
      <w:pPr>
        <w:ind w:left="425"/>
      </w:pPr>
      <w:r>
        <w:rPr>
          <w:rFonts w:hint="eastAsia"/>
        </w:rPr>
        <w:t>如果是选择协议采购竞价的方式，且商品少于三家报价，需要采购单位重新指定商品</w:t>
      </w:r>
    </w:p>
    <w:p w14:paraId="63382B1D">
      <w:pPr>
        <w:ind w:left="425"/>
      </w:pPr>
      <w:r>
        <w:drawing>
          <wp:inline distT="0" distB="0" distL="0" distR="0">
            <wp:extent cx="3978910" cy="1779905"/>
            <wp:effectExtent l="0" t="0" r="0" b="0"/>
            <wp:docPr id="201" name="图片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图片 201"/>
                    <pic:cNvPicPr>
                      <a:picLocks noChangeAspect="1"/>
                    </pic:cNvPicPr>
                  </pic:nvPicPr>
                  <pic:blipFill>
                    <a:blip r:embed="rId92"/>
                    <a:stretch>
                      <a:fillRect/>
                    </a:stretch>
                  </pic:blipFill>
                  <pic:spPr>
                    <a:xfrm>
                      <a:off x="0" y="0"/>
                      <a:ext cx="3993928" cy="1786944"/>
                    </a:xfrm>
                    <a:prstGeom prst="rect">
                      <a:avLst/>
                    </a:prstGeom>
                  </pic:spPr>
                </pic:pic>
              </a:graphicData>
            </a:graphic>
          </wp:inline>
        </w:drawing>
      </w:r>
    </w:p>
    <w:p w14:paraId="23C2C781">
      <w:pPr>
        <w:ind w:left="425"/>
      </w:pPr>
      <w:r>
        <w:rPr>
          <w:rFonts w:hint="eastAsia"/>
        </w:rPr>
        <w:t>点击“重新指定商品”，进入商品库选择商品。</w:t>
      </w:r>
    </w:p>
    <w:p w14:paraId="6890CF92">
      <w:pPr>
        <w:ind w:left="425"/>
      </w:pPr>
      <w:r>
        <w:drawing>
          <wp:inline distT="0" distB="0" distL="0" distR="0">
            <wp:extent cx="5295900" cy="2201545"/>
            <wp:effectExtent l="0" t="0" r="0" b="0"/>
            <wp:docPr id="203" name="图片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图片 203"/>
                    <pic:cNvPicPr>
                      <a:picLocks noChangeAspect="1"/>
                    </pic:cNvPicPr>
                  </pic:nvPicPr>
                  <pic:blipFill>
                    <a:blip r:embed="rId93"/>
                    <a:stretch>
                      <a:fillRect/>
                    </a:stretch>
                  </pic:blipFill>
                  <pic:spPr>
                    <a:xfrm>
                      <a:off x="0" y="0"/>
                      <a:ext cx="5327927" cy="2215453"/>
                    </a:xfrm>
                    <a:prstGeom prst="rect">
                      <a:avLst/>
                    </a:prstGeom>
                  </pic:spPr>
                </pic:pic>
              </a:graphicData>
            </a:graphic>
          </wp:inline>
        </w:drawing>
      </w:r>
    </w:p>
    <w:p w14:paraId="66965751">
      <w:pPr>
        <w:pStyle w:val="2"/>
      </w:pPr>
      <w:bookmarkStart w:id="33" w:name="_Toc27343"/>
      <w:r>
        <w:rPr>
          <w:rFonts w:hint="eastAsia"/>
        </w:rPr>
        <w:t>合同备案及验收单备案</w:t>
      </w:r>
      <w:bookmarkEnd w:id="33"/>
    </w:p>
    <w:p w14:paraId="2400DBAA">
      <w:pPr>
        <w:pStyle w:val="3"/>
      </w:pPr>
      <w:bookmarkStart w:id="34" w:name="_Toc22613"/>
      <w:r>
        <w:rPr>
          <w:rFonts w:hint="eastAsia"/>
        </w:rPr>
        <w:t>采购合同备案</w:t>
      </w:r>
      <w:bookmarkEnd w:id="34"/>
    </w:p>
    <w:p w14:paraId="4DA104BC">
      <w:r>
        <w:rPr>
          <w:rFonts w:hint="eastAsia"/>
        </w:rPr>
        <w:t>采购单位页面</w:t>
      </w:r>
      <w:r>
        <w:t>，</w:t>
      </w:r>
      <w:r>
        <w:rPr>
          <w:rFonts w:hint="eastAsia"/>
        </w:rPr>
        <w:t>进入 “合同备案与验收”模块，新增</w:t>
      </w:r>
      <w:r>
        <w:t>采购合同备案时，</w:t>
      </w:r>
      <w:r>
        <w:rPr>
          <w:rFonts w:hint="eastAsia"/>
        </w:rPr>
        <w:t>按照</w:t>
      </w:r>
      <w:r>
        <w:t>不同的采购</w:t>
      </w:r>
      <w:r>
        <w:rPr>
          <w:rFonts w:hint="eastAsia"/>
        </w:rPr>
        <w:t>方式</w:t>
      </w:r>
      <w:r>
        <w:t>选择不同的</w:t>
      </w:r>
      <w:r>
        <w:rPr>
          <w:rFonts w:hint="eastAsia"/>
        </w:rPr>
        <w:t>合同备案。</w:t>
      </w:r>
      <w:r>
        <w:t>点击</w:t>
      </w:r>
      <w:r>
        <w:rPr>
          <w:rFonts w:hint="eastAsia"/>
        </w:rPr>
        <w:t>左上</w:t>
      </w:r>
      <w:r>
        <w:t>“</w:t>
      </w:r>
      <w:r>
        <w:rPr>
          <w:rFonts w:hint="eastAsia"/>
        </w:rPr>
        <w:t>新增</w:t>
      </w:r>
      <w:r>
        <w:t>合同备案”</w:t>
      </w:r>
      <w:r>
        <w:rPr>
          <w:rFonts w:hint="eastAsia"/>
        </w:rPr>
        <w:t>，</w:t>
      </w:r>
      <w:r>
        <w:t>如图所示：</w:t>
      </w:r>
    </w:p>
    <w:p w14:paraId="088D5237">
      <w:pPr>
        <w:widowControl/>
        <w:jc w:val="center"/>
      </w:pPr>
      <w:r>
        <w:drawing>
          <wp:inline distT="0" distB="0" distL="0" distR="0">
            <wp:extent cx="5635625" cy="236474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94"/>
                    <a:stretch>
                      <a:fillRect/>
                    </a:stretch>
                  </pic:blipFill>
                  <pic:spPr>
                    <a:xfrm>
                      <a:off x="0" y="0"/>
                      <a:ext cx="5650428" cy="2371348"/>
                    </a:xfrm>
                    <a:prstGeom prst="rect">
                      <a:avLst/>
                    </a:prstGeom>
                  </pic:spPr>
                </pic:pic>
              </a:graphicData>
            </a:graphic>
          </wp:inline>
        </w:drawing>
      </w:r>
    </w:p>
    <w:p w14:paraId="2193EE66">
      <w:pPr>
        <w:widowControl/>
        <w:ind w:firstLine="420" w:firstLineChars="200"/>
        <w:jc w:val="left"/>
        <w:rPr>
          <w:rFonts w:hint="default" w:eastAsia="宋体"/>
          <w:color w:val="FF0000"/>
          <w:lang w:val="en-US" w:eastAsia="zh-CN"/>
        </w:rPr>
      </w:pPr>
      <w:r>
        <w:rPr>
          <w:rFonts w:hint="eastAsia"/>
          <w:color w:val="FF0000"/>
        </w:rPr>
        <w:t>注：1、</w:t>
      </w:r>
      <w:r>
        <w:rPr>
          <w:color w:val="FF0000"/>
        </w:rPr>
        <w:t>所有委托</w:t>
      </w:r>
      <w:r>
        <w:rPr>
          <w:rFonts w:hint="eastAsia"/>
          <w:color w:val="FF0000"/>
        </w:rPr>
        <w:t>、</w:t>
      </w:r>
      <w:r>
        <w:rPr>
          <w:color w:val="FF0000"/>
        </w:rPr>
        <w:t>自行采购项目的合同统一由下级预算单位新增提交后</w:t>
      </w:r>
      <w:r>
        <w:rPr>
          <w:rFonts w:hint="eastAsia"/>
          <w:color w:val="FF0000"/>
        </w:rPr>
        <w:t>，</w:t>
      </w:r>
      <w:r>
        <w:rPr>
          <w:color w:val="FF0000"/>
        </w:rPr>
        <w:t>由主管预算单位审核备案即可</w:t>
      </w:r>
      <w:r>
        <w:rPr>
          <w:rFonts w:hint="eastAsia"/>
          <w:color w:val="FF0000"/>
        </w:rPr>
        <w:t>；</w:t>
      </w:r>
      <w:r>
        <w:rPr>
          <w:rFonts w:hint="eastAsia"/>
          <w:color w:val="FF0000"/>
          <w:lang w:val="en-US" w:eastAsia="zh-CN"/>
        </w:rPr>
        <w:t>挑选的所有条目中关联的一体化项目名称和项目代码一致方可进行合同备案。</w:t>
      </w:r>
    </w:p>
    <w:p w14:paraId="79A08254">
      <w:pPr>
        <w:pStyle w:val="3"/>
      </w:pPr>
      <w:bookmarkStart w:id="35" w:name="_Toc5325"/>
      <w:r>
        <w:rPr>
          <w:rFonts w:hint="eastAsia"/>
        </w:rPr>
        <w:t>签订协议采购合同</w:t>
      </w:r>
      <w:bookmarkEnd w:id="35"/>
    </w:p>
    <w:p w14:paraId="2DE58246">
      <w:pPr>
        <w:rPr>
          <w:b/>
          <w:bCs/>
          <w:szCs w:val="21"/>
        </w:rPr>
      </w:pPr>
      <w:r>
        <w:rPr>
          <w:rFonts w:hint="eastAsia"/>
          <w:szCs w:val="21"/>
        </w:rPr>
        <w:t>针对协议采购项目，该菜单下面可以看到协议供应商提交过来需要审核的合同，可以点击查看进去进行审核，不符合要求的话也可以进行退回到供应商处，让他们重新编辑提交。</w:t>
      </w:r>
      <w:r>
        <w:rPr>
          <w:rFonts w:hint="eastAsia"/>
          <w:b/>
          <w:color w:val="FF0000"/>
          <w:szCs w:val="21"/>
        </w:rPr>
        <w:t>协议采购合同由中标供应商发起，下级预算单位负责审核。</w:t>
      </w:r>
      <w:r>
        <w:rPr>
          <w:rFonts w:hint="eastAsia"/>
          <w:b/>
          <w:bCs/>
          <w:color w:val="FF0000"/>
          <w:lang w:val="en-US" w:eastAsia="zh-CN"/>
        </w:rPr>
        <w:t>挑选的所有条目中关联的一体化项目名称和项目代码一致方可进行合同备案。</w:t>
      </w:r>
    </w:p>
    <w:p w14:paraId="32D46F4F">
      <w:pPr>
        <w:widowControl/>
        <w:jc w:val="left"/>
        <w:rPr>
          <w:rFonts w:ascii="宋体" w:hAnsi="宋体" w:cs="宋体"/>
          <w:b/>
          <w:kern w:val="0"/>
          <w:sz w:val="24"/>
        </w:rPr>
      </w:pPr>
      <w:r>
        <w:drawing>
          <wp:inline distT="0" distB="0" distL="0" distR="0">
            <wp:extent cx="5539105" cy="184086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95"/>
                    <a:stretch>
                      <a:fillRect/>
                    </a:stretch>
                  </pic:blipFill>
                  <pic:spPr>
                    <a:xfrm>
                      <a:off x="0" y="0"/>
                      <a:ext cx="5561417" cy="1848360"/>
                    </a:xfrm>
                    <a:prstGeom prst="rect">
                      <a:avLst/>
                    </a:prstGeom>
                  </pic:spPr>
                </pic:pic>
              </a:graphicData>
            </a:graphic>
          </wp:inline>
        </w:drawing>
      </w:r>
    </w:p>
    <w:p w14:paraId="6A36E1D4">
      <w:pPr>
        <w:rPr>
          <w:sz w:val="24"/>
        </w:rPr>
      </w:pPr>
    </w:p>
    <w:p w14:paraId="322C7D84">
      <w:pPr>
        <w:pStyle w:val="3"/>
      </w:pPr>
      <w:bookmarkStart w:id="36" w:name="_Toc22077"/>
      <w:r>
        <w:rPr>
          <w:rFonts w:hint="eastAsia"/>
        </w:rPr>
        <w:t>验收单</w:t>
      </w:r>
      <w:bookmarkEnd w:id="36"/>
    </w:p>
    <w:p w14:paraId="5FD624F7">
      <w:r>
        <w:rPr>
          <w:rFonts w:hint="eastAsia"/>
        </w:rPr>
        <w:t>进入菜单“合同备案与验收—验收单”，如下图</w:t>
      </w:r>
    </w:p>
    <w:p w14:paraId="3AB04485">
      <w:pPr>
        <w:widowControl/>
        <w:jc w:val="left"/>
        <w:rPr>
          <w:rFonts w:ascii="宋体" w:hAnsi="宋体" w:cs="宋体"/>
          <w:kern w:val="0"/>
          <w:sz w:val="24"/>
        </w:rPr>
      </w:pPr>
      <w:r>
        <w:drawing>
          <wp:inline distT="0" distB="0" distL="0" distR="0">
            <wp:extent cx="5681980" cy="1884045"/>
            <wp:effectExtent l="0" t="0" r="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pic:cNvPicPr>
                      <a:picLocks noChangeAspect="1"/>
                    </pic:cNvPicPr>
                  </pic:nvPicPr>
                  <pic:blipFill>
                    <a:blip r:embed="rId96"/>
                    <a:stretch>
                      <a:fillRect/>
                    </a:stretch>
                  </pic:blipFill>
                  <pic:spPr>
                    <a:xfrm>
                      <a:off x="0" y="0"/>
                      <a:ext cx="5709481" cy="1893480"/>
                    </a:xfrm>
                    <a:prstGeom prst="rect">
                      <a:avLst/>
                    </a:prstGeom>
                  </pic:spPr>
                </pic:pic>
              </a:graphicData>
            </a:graphic>
          </wp:inline>
        </w:drawing>
      </w:r>
    </w:p>
    <w:p w14:paraId="3A154B16">
      <w:pPr>
        <w:rPr>
          <w:sz w:val="24"/>
        </w:rPr>
      </w:pPr>
      <w:r>
        <w:rPr>
          <w:rFonts w:hint="eastAsia"/>
          <w:sz w:val="24"/>
        </w:rPr>
        <w:t>下级预算单位或者主管预算单位可以点击左上“新增验收单”按钮，在跳出的页面中选择未进行验收的项目，完善验收单信息后，可直接完成备案操作。</w:t>
      </w:r>
    </w:p>
    <w:p w14:paraId="07ADE4C9">
      <w:r>
        <w:rPr>
          <w:rFonts w:hint="eastAsia"/>
          <w:b/>
          <w:color w:val="FF0000"/>
          <w:sz w:val="24"/>
        </w:rPr>
        <w:t>验收单由预算单位直接新增备案即可，无需审核。</w:t>
      </w:r>
    </w:p>
    <w:sectPr>
      <w:headerReference r:id="rId5" w:type="first"/>
      <w:footerReference r:id="rId7" w:type="first"/>
      <w:headerReference r:id="rId3" w:type="default"/>
      <w:footerReference r:id="rId6" w:type="default"/>
      <w:headerReference r:id="rId4" w:type="even"/>
      <w:pgSz w:w="11906" w:h="16838"/>
      <w:pgMar w:top="2880" w:right="1440" w:bottom="2880" w:left="144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_GB2312">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37C085">
    <w:pPr>
      <w:pStyle w:val="20"/>
      <w:rPr>
        <w:caps/>
        <w:color w:val="000000" w:themeColor="text1"/>
      </w:rPr>
    </w:pPr>
    <w:r>
      <w:rPr>
        <w:caps/>
        <w:color w:val="000000" w:themeColor="text1"/>
      </w:rPr>
      <w:fldChar w:fldCharType="begin"/>
    </w:r>
    <w:r>
      <w:rPr>
        <w:caps/>
        <w:color w:val="000000" w:themeColor="text1"/>
      </w:rPr>
      <w:instrText xml:space="preserve">PAGE   \* MERGEFORMAT</w:instrText>
    </w:r>
    <w:r>
      <w:rPr>
        <w:caps/>
        <w:color w:val="000000" w:themeColor="text1"/>
      </w:rPr>
      <w:fldChar w:fldCharType="separate"/>
    </w:r>
    <w:r>
      <w:rPr>
        <w:caps/>
        <w:color w:val="000000" w:themeColor="text1"/>
        <w:lang w:val="zh-CN"/>
      </w:rPr>
      <w:t>1</w:t>
    </w:r>
    <w:r>
      <w:rPr>
        <w:caps/>
        <w:color w:val="000000" w:themeColor="text1"/>
      </w:rPr>
      <w:fldChar w:fldCharType="end"/>
    </w:r>
  </w:p>
  <w:p w14:paraId="2E7927A5">
    <w:pPr>
      <w:pStyle w:val="2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131BE20">
    <w:pPr>
      <w:pStyle w:val="20"/>
      <w:rPr>
        <w:b/>
        <w:sz w:val="24"/>
        <w:szCs w:val="24"/>
      </w:rPr>
    </w:pPr>
    <w:r>
      <w:rPr>
        <w:rFonts w:hint="eastAsia"/>
        <w:b/>
        <w:sz w:val="24"/>
        <w:szCs w:val="24"/>
      </w:rPr>
      <w:t>江苏国泰新点软件有限公司</w:t>
    </w:r>
  </w:p>
  <w:p w14:paraId="7775E137">
    <w:pPr>
      <w:pStyle w:val="20"/>
    </w:pPr>
    <w:r>
      <w:rPr>
        <w:rFonts w:hint="eastAsia"/>
      </w:rPr>
      <w:t xml:space="preserve">                                                     </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10837F5">
    <w:pPr>
      <w:pStyle w:val="21"/>
      <w:jc w:val="both"/>
    </w:pPr>
  </w:p>
  <w:p w14:paraId="7934CD2E">
    <w:pPr>
      <w:pStyle w:val="21"/>
      <w:ind w:firstLine="1080" w:firstLineChars="600"/>
      <w:jc w:val="both"/>
    </w:pPr>
  </w:p>
  <w:p w14:paraId="0D559FD8">
    <w:pPr>
      <w:pStyle w:val="21"/>
      <w:ind w:firstLine="1080" w:firstLineChars="600"/>
      <w:jc w:val="both"/>
    </w:pPr>
  </w:p>
  <w:p w14:paraId="4A8A813D">
    <w:pPr>
      <w:pStyle w:val="21"/>
      <w:ind w:firstLine="1080" w:firstLineChars="600"/>
      <w:jc w:val="both"/>
    </w:pPr>
  </w:p>
  <w:p w14:paraId="5BEF2543">
    <w:pPr>
      <w:pStyle w:val="21"/>
      <w:ind w:firstLine="1080" w:firstLineChars="600"/>
      <w:jc w:val="both"/>
    </w:pPr>
  </w:p>
  <w:p w14:paraId="785E22F8">
    <w:pPr>
      <w:pStyle w:val="21"/>
      <w:ind w:firstLine="1080" w:firstLineChars="600"/>
      <w:jc w:val="both"/>
    </w:pPr>
  </w:p>
  <w:p w14:paraId="02BF0583">
    <w:pPr>
      <w:pStyle w:val="21"/>
      <w:ind w:firstLine="1080" w:firstLineChars="600"/>
      <w:jc w:val="both"/>
    </w:pPr>
  </w:p>
  <w:p w14:paraId="1E0C992A">
    <w:pPr>
      <w:pStyle w:val="21"/>
      <w:ind w:firstLine="1080" w:firstLineChars="600"/>
      <w:jc w:val="both"/>
    </w:pPr>
    <w:r>
      <w:rPr>
        <w:rFonts w:hint="eastAsia"/>
      </w:rPr>
      <w:t>江西省公共资源电子交易服务平台政府采购子系统－采购</w:t>
    </w:r>
    <w:r>
      <w:t>单位</w:t>
    </w:r>
    <w:r>
      <w:rPr>
        <w:rFonts w:hint="eastAsia"/>
      </w:rPr>
      <w:t>操作手册</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0B1592">
    <w:pPr>
      <w:pStyle w:val="21"/>
      <w:framePr w:wrap="around" w:vAnchor="text" w:hAnchor="margin" w:xAlign="right" w:y="1"/>
      <w:rPr>
        <w:rStyle w:val="32"/>
      </w:rPr>
    </w:pPr>
    <w:r>
      <w:fldChar w:fldCharType="begin"/>
    </w:r>
    <w:r>
      <w:rPr>
        <w:rStyle w:val="32"/>
      </w:rPr>
      <w:instrText xml:space="preserve">PAGE  </w:instrText>
    </w:r>
    <w:r>
      <w:fldChar w:fldCharType="end"/>
    </w:r>
  </w:p>
  <w:p w14:paraId="2CB469A9">
    <w:pPr>
      <w:pStyle w:val="21"/>
      <w:ind w:right="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968752352"/>
      <w:placeholder>
        <w:docPart w:val="10792C1D70804ECE811E0A9CF92C5DF2"/>
      </w:placeholder>
      <w:temporary/>
      <w:showingPlcHdr/>
      <w15:appearance w15:val="hidden"/>
    </w:sdtPr>
    <w:sdtContent>
      <w:p w14:paraId="2370FF15">
        <w:pPr>
          <w:pStyle w:val="21"/>
        </w:pPr>
        <w:r>
          <w:rPr>
            <w:lang w:val="zh-CN"/>
          </w:rPr>
          <w:t>[在此处键入]</w:t>
        </w:r>
      </w:p>
    </w:sdtContent>
  </w:sdt>
  <w:p w14:paraId="4C2CADC0">
    <w:pPr>
      <w:pStyle w:val="2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C"/>
    <w:multiLevelType w:val="multilevel"/>
    <w:tmpl w:val="0000000C"/>
    <w:lvl w:ilvl="0" w:tentative="0">
      <w:start w:val="1"/>
      <w:numFmt w:val="decimal"/>
      <w:pStyle w:val="2"/>
      <w:lvlText w:val="%1."/>
      <w:lvlJc w:val="left"/>
      <w:pPr>
        <w:tabs>
          <w:tab w:val="left" w:pos="425"/>
        </w:tabs>
        <w:ind w:left="425" w:hanging="425"/>
      </w:pPr>
      <w:rPr>
        <w:rFonts w:ascii="Times New Roman" w:hAnsi="Times New Roman" w:cs="Times New Roman"/>
        <w:b w:val="0"/>
        <w:bCs w:val="0"/>
        <w:i w:val="0"/>
        <w:iCs w:val="0"/>
        <w:caps w:val="0"/>
        <w:smallCaps w:val="0"/>
        <w:strike w:val="0"/>
        <w:dstrike w:val="0"/>
        <w:outline w:val="0"/>
        <w:shadow w:val="0"/>
        <w:emboss w:val="0"/>
        <w:imprint w:val="0"/>
        <w:snapToGrid w:val="0"/>
        <w:vanish w:val="0"/>
        <w:color w:val="000000"/>
        <w:spacing w:val="0"/>
        <w:w w:val="0"/>
        <w:kern w:val="0"/>
        <w:position w:val="0"/>
        <w:szCs w:val="0"/>
        <w:u w:val="none"/>
        <w:vertAlign w:val="baseline"/>
      </w:rPr>
    </w:lvl>
    <w:lvl w:ilvl="1" w:tentative="0">
      <w:start w:val="1"/>
      <w:numFmt w:val="decimal"/>
      <w:pStyle w:val="3"/>
      <w:lvlText w:val="%1.%2."/>
      <w:lvlJc w:val="left"/>
      <w:pPr>
        <w:tabs>
          <w:tab w:val="left" w:pos="851"/>
        </w:tabs>
        <w:ind w:left="851" w:hanging="567"/>
      </w:pPr>
      <w:rPr>
        <w:rFonts w:ascii="Times New Roman" w:hAnsi="Times New Roman" w:cs="Times New Roman"/>
        <w:b/>
        <w:bCs w:val="0"/>
        <w:i w:val="0"/>
        <w:iCs w:val="0"/>
        <w:caps w:val="0"/>
        <w:smallCaps w:val="0"/>
        <w:strike w:val="0"/>
        <w:dstrike w:val="0"/>
        <w:outline w:val="0"/>
        <w:shadow w:val="0"/>
        <w:emboss w:val="0"/>
        <w:imprint w:val="0"/>
        <w:snapToGrid w:val="0"/>
        <w:vanish w:val="0"/>
        <w:color w:val="000000"/>
        <w:spacing w:val="0"/>
        <w:w w:val="0"/>
        <w:kern w:val="0"/>
        <w:position w:val="0"/>
        <w:sz w:val="30"/>
        <w:szCs w:val="30"/>
        <w:u w:val="none"/>
        <w:vertAlign w:val="baseline"/>
      </w:rPr>
    </w:lvl>
    <w:lvl w:ilvl="2" w:tentative="0">
      <w:start w:val="1"/>
      <w:numFmt w:val="decimal"/>
      <w:pStyle w:val="4"/>
      <w:lvlText w:val="%1.%2.%3."/>
      <w:lvlJc w:val="left"/>
      <w:pPr>
        <w:tabs>
          <w:tab w:val="left" w:pos="709"/>
        </w:tabs>
        <w:ind w:left="709" w:hanging="709"/>
      </w:pPr>
    </w:lvl>
    <w:lvl w:ilvl="3" w:tentative="0">
      <w:start w:val="1"/>
      <w:numFmt w:val="decimal"/>
      <w:pStyle w:val="5"/>
      <w:lvlText w:val="%1.%2.%3.%4."/>
      <w:lvlJc w:val="left"/>
      <w:pPr>
        <w:tabs>
          <w:tab w:val="left" w:pos="851"/>
        </w:tabs>
        <w:ind w:left="851" w:hanging="851"/>
      </w:pPr>
    </w:lvl>
    <w:lvl w:ilvl="4" w:tentative="0">
      <w:start w:val="1"/>
      <w:numFmt w:val="decimal"/>
      <w:pStyle w:val="6"/>
      <w:lvlText w:val="%1.%2.%3.%4.%5."/>
      <w:lvlJc w:val="left"/>
      <w:pPr>
        <w:tabs>
          <w:tab w:val="left" w:pos="992"/>
        </w:tabs>
        <w:ind w:left="992" w:hanging="992"/>
      </w:pPr>
    </w:lvl>
    <w:lvl w:ilvl="5" w:tentative="0">
      <w:start w:val="1"/>
      <w:numFmt w:val="decimal"/>
      <w:lvlText w:val="%1.%2.%3.%4.%5.%6."/>
      <w:lvlJc w:val="left"/>
      <w:pPr>
        <w:tabs>
          <w:tab w:val="left" w:pos="1134"/>
        </w:tabs>
        <w:ind w:left="1134" w:hanging="1134"/>
      </w:pPr>
    </w:lvl>
    <w:lvl w:ilvl="6" w:tentative="0">
      <w:start w:val="1"/>
      <w:numFmt w:val="decimal"/>
      <w:lvlText w:val="%1.%2.%3.%4.%5.%6.%7."/>
      <w:lvlJc w:val="left"/>
      <w:pPr>
        <w:tabs>
          <w:tab w:val="left" w:pos="1276"/>
        </w:tabs>
        <w:ind w:left="1276" w:hanging="1276"/>
      </w:pPr>
    </w:lvl>
    <w:lvl w:ilvl="7" w:tentative="0">
      <w:start w:val="1"/>
      <w:numFmt w:val="decimal"/>
      <w:lvlText w:val="%1.%2.%3.%4.%5.%6.%7.%8."/>
      <w:lvlJc w:val="left"/>
      <w:pPr>
        <w:tabs>
          <w:tab w:val="left" w:pos="1418"/>
        </w:tabs>
        <w:ind w:left="1418" w:hanging="1418"/>
      </w:pPr>
    </w:lvl>
    <w:lvl w:ilvl="8" w:tentative="0">
      <w:start w:val="1"/>
      <w:numFmt w:val="decimal"/>
      <w:lvlText w:val="%1.%2.%3.%4.%5.%6.%7.%8.%9."/>
      <w:lvlJc w:val="left"/>
      <w:pPr>
        <w:tabs>
          <w:tab w:val="left" w:pos="1559"/>
        </w:tabs>
        <w:ind w:left="1559" w:hanging="1559"/>
      </w:pPr>
    </w:lvl>
  </w:abstractNum>
  <w:abstractNum w:abstractNumId="1">
    <w:nsid w:val="02A13A39"/>
    <w:multiLevelType w:val="singleLevel"/>
    <w:tmpl w:val="02A13A39"/>
    <w:lvl w:ilvl="0" w:tentative="0">
      <w:start w:val="2"/>
      <w:numFmt w:val="chineseCounting"/>
      <w:suff w:val="nothing"/>
      <w:lvlText w:val="%1、"/>
      <w:lvlJc w:val="left"/>
      <w:rPr>
        <w:rFonts w:hint="eastAsia"/>
      </w:rPr>
    </w:lvl>
  </w:abstractNum>
  <w:abstractNum w:abstractNumId="2">
    <w:nsid w:val="25F562C4"/>
    <w:multiLevelType w:val="multilevel"/>
    <w:tmpl w:val="25F562C4"/>
    <w:lvl w:ilvl="0" w:tentative="0">
      <w:start w:val="1"/>
      <w:numFmt w:val="decimal"/>
      <w:lvlText w:val="%1、"/>
      <w:lvlJc w:val="left"/>
      <w:pPr>
        <w:ind w:left="780" w:hanging="360"/>
      </w:pPr>
      <w:rPr>
        <w:rFonts w:hint="default"/>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3">
    <w:nsid w:val="67045224"/>
    <w:multiLevelType w:val="multilevel"/>
    <w:tmpl w:val="67045224"/>
    <w:lvl w:ilvl="0" w:tentative="0">
      <w:start w:val="1"/>
      <w:numFmt w:val="decimal"/>
      <w:lvlText w:val="%1）"/>
      <w:lvlJc w:val="left"/>
      <w:pPr>
        <w:ind w:left="600" w:hanging="360"/>
      </w:pPr>
      <w:rPr>
        <w:rFonts w:hint="default"/>
      </w:r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4">
    <w:nsid w:val="6E712D46"/>
    <w:multiLevelType w:val="multilevel"/>
    <w:tmpl w:val="6E712D46"/>
    <w:lvl w:ilvl="0" w:tentative="0">
      <w:start w:val="1"/>
      <w:numFmt w:val="decimal"/>
      <w:lvlText w:val="%1、"/>
      <w:lvlJc w:val="left"/>
      <w:pPr>
        <w:ind w:left="420" w:hanging="420"/>
      </w:pPr>
      <w:rPr>
        <w:rFonts w:ascii="Times New Roman" w:hAnsi="Times New Roman" w:eastAsia="宋体" w:cs="Times New Roman"/>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num w:numId="1">
    <w:abstractNumId w:val="0"/>
  </w:num>
  <w:num w:numId="2">
    <w:abstractNumId w:val="1"/>
  </w:num>
  <w:num w:numId="3">
    <w:abstractNumId w:val="3"/>
  </w:num>
  <w:num w:numId="4">
    <w:abstractNumId w:val="4"/>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attachedTemplate r:id="rId1"/>
  <w:documentProtection w:enforcement="0"/>
  <w:defaultTabStop w:val="420"/>
  <w:drawingGridHorizontalSpacing w:val="105"/>
  <w:drawingGridVerticalSpacing w:val="156"/>
  <w:displayHorizontalDrawingGridEvery w:val="0"/>
  <w:displayVerticalDrawingGridEvery w:val="2"/>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NmQ0NGZjMzdkYmQ1ZmUwNTQ5NDc3ZmFlMzQ5ZTJkYWQifQ=="/>
  </w:docVars>
  <w:rsids>
    <w:rsidRoot w:val="00172A27"/>
    <w:rsid w:val="0001177B"/>
    <w:rsid w:val="00020E00"/>
    <w:rsid w:val="0002676D"/>
    <w:rsid w:val="00026EC5"/>
    <w:rsid w:val="00041295"/>
    <w:rsid w:val="000922C5"/>
    <w:rsid w:val="00096349"/>
    <w:rsid w:val="00097AA4"/>
    <w:rsid w:val="000A5412"/>
    <w:rsid w:val="000C1B4D"/>
    <w:rsid w:val="000D044F"/>
    <w:rsid w:val="000D6081"/>
    <w:rsid w:val="000E1E3C"/>
    <w:rsid w:val="000E2DC0"/>
    <w:rsid w:val="000F219B"/>
    <w:rsid w:val="000F21D4"/>
    <w:rsid w:val="000F6E7B"/>
    <w:rsid w:val="00111F16"/>
    <w:rsid w:val="00114004"/>
    <w:rsid w:val="00121D99"/>
    <w:rsid w:val="00123A16"/>
    <w:rsid w:val="00125660"/>
    <w:rsid w:val="0013469A"/>
    <w:rsid w:val="00134C29"/>
    <w:rsid w:val="001374B1"/>
    <w:rsid w:val="001427CB"/>
    <w:rsid w:val="00147849"/>
    <w:rsid w:val="00150A59"/>
    <w:rsid w:val="00161DB4"/>
    <w:rsid w:val="001638B2"/>
    <w:rsid w:val="00163D59"/>
    <w:rsid w:val="001666AC"/>
    <w:rsid w:val="00167AAC"/>
    <w:rsid w:val="00172600"/>
    <w:rsid w:val="00172A27"/>
    <w:rsid w:val="001857DF"/>
    <w:rsid w:val="0019128B"/>
    <w:rsid w:val="001A1159"/>
    <w:rsid w:val="001A58DA"/>
    <w:rsid w:val="001B38E5"/>
    <w:rsid w:val="001B3B31"/>
    <w:rsid w:val="001D6AB4"/>
    <w:rsid w:val="001E2551"/>
    <w:rsid w:val="001E5F15"/>
    <w:rsid w:val="002122F0"/>
    <w:rsid w:val="00214175"/>
    <w:rsid w:val="00214316"/>
    <w:rsid w:val="0022740D"/>
    <w:rsid w:val="00230174"/>
    <w:rsid w:val="00231982"/>
    <w:rsid w:val="002342FE"/>
    <w:rsid w:val="00235B08"/>
    <w:rsid w:val="00235F7C"/>
    <w:rsid w:val="00244493"/>
    <w:rsid w:val="00246896"/>
    <w:rsid w:val="00251DCD"/>
    <w:rsid w:val="0026432C"/>
    <w:rsid w:val="00267C53"/>
    <w:rsid w:val="0027131F"/>
    <w:rsid w:val="0027283E"/>
    <w:rsid w:val="00275CAD"/>
    <w:rsid w:val="00277B7B"/>
    <w:rsid w:val="0028783E"/>
    <w:rsid w:val="00287F27"/>
    <w:rsid w:val="002A60C8"/>
    <w:rsid w:val="002A771C"/>
    <w:rsid w:val="002E47C6"/>
    <w:rsid w:val="002E78AD"/>
    <w:rsid w:val="0030300C"/>
    <w:rsid w:val="003043ED"/>
    <w:rsid w:val="0030453E"/>
    <w:rsid w:val="00306B9E"/>
    <w:rsid w:val="003112D3"/>
    <w:rsid w:val="00317854"/>
    <w:rsid w:val="00325145"/>
    <w:rsid w:val="003324E3"/>
    <w:rsid w:val="00335D02"/>
    <w:rsid w:val="003407E9"/>
    <w:rsid w:val="0034173D"/>
    <w:rsid w:val="00342DBD"/>
    <w:rsid w:val="00344EF4"/>
    <w:rsid w:val="00362965"/>
    <w:rsid w:val="0037156B"/>
    <w:rsid w:val="00373963"/>
    <w:rsid w:val="00375B38"/>
    <w:rsid w:val="00377733"/>
    <w:rsid w:val="00382158"/>
    <w:rsid w:val="003902B2"/>
    <w:rsid w:val="00393B5C"/>
    <w:rsid w:val="003A6B69"/>
    <w:rsid w:val="003B1615"/>
    <w:rsid w:val="003B55BA"/>
    <w:rsid w:val="003D25EB"/>
    <w:rsid w:val="003D2DF4"/>
    <w:rsid w:val="003D36B0"/>
    <w:rsid w:val="003D63DB"/>
    <w:rsid w:val="003F5AA0"/>
    <w:rsid w:val="003F5CE6"/>
    <w:rsid w:val="00401871"/>
    <w:rsid w:val="004061C7"/>
    <w:rsid w:val="0041696A"/>
    <w:rsid w:val="00434C8A"/>
    <w:rsid w:val="00443E97"/>
    <w:rsid w:val="00444135"/>
    <w:rsid w:val="004469CF"/>
    <w:rsid w:val="00450093"/>
    <w:rsid w:val="00451A56"/>
    <w:rsid w:val="004672CB"/>
    <w:rsid w:val="00473C0A"/>
    <w:rsid w:val="004847D6"/>
    <w:rsid w:val="004872B4"/>
    <w:rsid w:val="00496AB6"/>
    <w:rsid w:val="004A6F72"/>
    <w:rsid w:val="004A700A"/>
    <w:rsid w:val="004B35CB"/>
    <w:rsid w:val="004C13AC"/>
    <w:rsid w:val="004C2856"/>
    <w:rsid w:val="004C4E46"/>
    <w:rsid w:val="004C60D3"/>
    <w:rsid w:val="004C7651"/>
    <w:rsid w:val="004D2958"/>
    <w:rsid w:val="004D66CD"/>
    <w:rsid w:val="004D712A"/>
    <w:rsid w:val="004E33D5"/>
    <w:rsid w:val="004E5FE4"/>
    <w:rsid w:val="004F5356"/>
    <w:rsid w:val="004F65C6"/>
    <w:rsid w:val="00514327"/>
    <w:rsid w:val="00514A44"/>
    <w:rsid w:val="0052338D"/>
    <w:rsid w:val="005337BC"/>
    <w:rsid w:val="00541C14"/>
    <w:rsid w:val="0055119E"/>
    <w:rsid w:val="00551D3A"/>
    <w:rsid w:val="00571399"/>
    <w:rsid w:val="005737A7"/>
    <w:rsid w:val="00574C52"/>
    <w:rsid w:val="00586E76"/>
    <w:rsid w:val="00590DC8"/>
    <w:rsid w:val="00591514"/>
    <w:rsid w:val="005920D7"/>
    <w:rsid w:val="00593F13"/>
    <w:rsid w:val="00596611"/>
    <w:rsid w:val="00597628"/>
    <w:rsid w:val="005A0DDC"/>
    <w:rsid w:val="005A56D9"/>
    <w:rsid w:val="005B2531"/>
    <w:rsid w:val="005B55C1"/>
    <w:rsid w:val="005D1FBD"/>
    <w:rsid w:val="005D784B"/>
    <w:rsid w:val="005E24C2"/>
    <w:rsid w:val="0060331A"/>
    <w:rsid w:val="0060363A"/>
    <w:rsid w:val="00611A0D"/>
    <w:rsid w:val="00623967"/>
    <w:rsid w:val="00623EFB"/>
    <w:rsid w:val="00626F7D"/>
    <w:rsid w:val="006362B8"/>
    <w:rsid w:val="00644CBC"/>
    <w:rsid w:val="00650475"/>
    <w:rsid w:val="00654601"/>
    <w:rsid w:val="006615D7"/>
    <w:rsid w:val="00664A4F"/>
    <w:rsid w:val="00665BB4"/>
    <w:rsid w:val="00670855"/>
    <w:rsid w:val="006825B8"/>
    <w:rsid w:val="006840A3"/>
    <w:rsid w:val="00684A87"/>
    <w:rsid w:val="00686337"/>
    <w:rsid w:val="00692B8A"/>
    <w:rsid w:val="006938F4"/>
    <w:rsid w:val="00694199"/>
    <w:rsid w:val="006A0795"/>
    <w:rsid w:val="006A142E"/>
    <w:rsid w:val="006A3297"/>
    <w:rsid w:val="006A6603"/>
    <w:rsid w:val="006B5FFF"/>
    <w:rsid w:val="006B67FB"/>
    <w:rsid w:val="006C7DB9"/>
    <w:rsid w:val="006D3861"/>
    <w:rsid w:val="006D4F6E"/>
    <w:rsid w:val="006E0346"/>
    <w:rsid w:val="006E754E"/>
    <w:rsid w:val="006F2E75"/>
    <w:rsid w:val="006F551E"/>
    <w:rsid w:val="006F674B"/>
    <w:rsid w:val="00703619"/>
    <w:rsid w:val="0071459E"/>
    <w:rsid w:val="007169CE"/>
    <w:rsid w:val="0071712A"/>
    <w:rsid w:val="00720F4D"/>
    <w:rsid w:val="00722B21"/>
    <w:rsid w:val="00730072"/>
    <w:rsid w:val="00731B36"/>
    <w:rsid w:val="00737265"/>
    <w:rsid w:val="00745E2E"/>
    <w:rsid w:val="007467BD"/>
    <w:rsid w:val="007511AC"/>
    <w:rsid w:val="007518F7"/>
    <w:rsid w:val="00751BAC"/>
    <w:rsid w:val="007535E6"/>
    <w:rsid w:val="00776C05"/>
    <w:rsid w:val="007858D0"/>
    <w:rsid w:val="007859CF"/>
    <w:rsid w:val="00792A5F"/>
    <w:rsid w:val="007B0B42"/>
    <w:rsid w:val="007B4CC0"/>
    <w:rsid w:val="007B7262"/>
    <w:rsid w:val="007C1275"/>
    <w:rsid w:val="007C3332"/>
    <w:rsid w:val="007E2AAC"/>
    <w:rsid w:val="007E3EA7"/>
    <w:rsid w:val="007F05BA"/>
    <w:rsid w:val="007F29AC"/>
    <w:rsid w:val="00806FC1"/>
    <w:rsid w:val="008121BF"/>
    <w:rsid w:val="008133C8"/>
    <w:rsid w:val="008211F0"/>
    <w:rsid w:val="00822F7B"/>
    <w:rsid w:val="0083086C"/>
    <w:rsid w:val="008412D0"/>
    <w:rsid w:val="0084443A"/>
    <w:rsid w:val="008632B2"/>
    <w:rsid w:val="008903D2"/>
    <w:rsid w:val="0089199C"/>
    <w:rsid w:val="00893D60"/>
    <w:rsid w:val="008947AD"/>
    <w:rsid w:val="00897BC2"/>
    <w:rsid w:val="008A0650"/>
    <w:rsid w:val="008A169A"/>
    <w:rsid w:val="008A369B"/>
    <w:rsid w:val="008A6B52"/>
    <w:rsid w:val="008C3EC6"/>
    <w:rsid w:val="008C4DC2"/>
    <w:rsid w:val="008C7796"/>
    <w:rsid w:val="008D0F41"/>
    <w:rsid w:val="008D10D9"/>
    <w:rsid w:val="008D36AE"/>
    <w:rsid w:val="008E1C45"/>
    <w:rsid w:val="008E2249"/>
    <w:rsid w:val="008E566E"/>
    <w:rsid w:val="00900EE7"/>
    <w:rsid w:val="00901592"/>
    <w:rsid w:val="00905CBB"/>
    <w:rsid w:val="0091413C"/>
    <w:rsid w:val="00915598"/>
    <w:rsid w:val="009245EB"/>
    <w:rsid w:val="00926A16"/>
    <w:rsid w:val="00931485"/>
    <w:rsid w:val="00935AF8"/>
    <w:rsid w:val="00936C3A"/>
    <w:rsid w:val="00950794"/>
    <w:rsid w:val="00950FB0"/>
    <w:rsid w:val="00954A57"/>
    <w:rsid w:val="00961D3D"/>
    <w:rsid w:val="00986AB5"/>
    <w:rsid w:val="009A1D1D"/>
    <w:rsid w:val="009C6E48"/>
    <w:rsid w:val="009D2778"/>
    <w:rsid w:val="009D6E0C"/>
    <w:rsid w:val="009E0BC3"/>
    <w:rsid w:val="009E67E5"/>
    <w:rsid w:val="00A0084A"/>
    <w:rsid w:val="00A100B4"/>
    <w:rsid w:val="00A10C47"/>
    <w:rsid w:val="00A20DCD"/>
    <w:rsid w:val="00A2507E"/>
    <w:rsid w:val="00A31228"/>
    <w:rsid w:val="00A33E7A"/>
    <w:rsid w:val="00A34221"/>
    <w:rsid w:val="00A35809"/>
    <w:rsid w:val="00A40DD9"/>
    <w:rsid w:val="00A56418"/>
    <w:rsid w:val="00A56814"/>
    <w:rsid w:val="00A5731D"/>
    <w:rsid w:val="00A573A1"/>
    <w:rsid w:val="00A60463"/>
    <w:rsid w:val="00A640D3"/>
    <w:rsid w:val="00A64F20"/>
    <w:rsid w:val="00A70D88"/>
    <w:rsid w:val="00A71338"/>
    <w:rsid w:val="00A76107"/>
    <w:rsid w:val="00A80427"/>
    <w:rsid w:val="00AA489E"/>
    <w:rsid w:val="00AB0930"/>
    <w:rsid w:val="00AC1EAC"/>
    <w:rsid w:val="00AD218E"/>
    <w:rsid w:val="00AE0DF7"/>
    <w:rsid w:val="00AE2F01"/>
    <w:rsid w:val="00AE6D22"/>
    <w:rsid w:val="00B152AF"/>
    <w:rsid w:val="00B174F0"/>
    <w:rsid w:val="00B317D9"/>
    <w:rsid w:val="00B33343"/>
    <w:rsid w:val="00B44564"/>
    <w:rsid w:val="00B54DF5"/>
    <w:rsid w:val="00B660F1"/>
    <w:rsid w:val="00B67F20"/>
    <w:rsid w:val="00B77879"/>
    <w:rsid w:val="00B82CEE"/>
    <w:rsid w:val="00B851E3"/>
    <w:rsid w:val="00B85DC7"/>
    <w:rsid w:val="00BA1819"/>
    <w:rsid w:val="00BB0707"/>
    <w:rsid w:val="00BB2A22"/>
    <w:rsid w:val="00BB6626"/>
    <w:rsid w:val="00BC457E"/>
    <w:rsid w:val="00BE2521"/>
    <w:rsid w:val="00BF63B3"/>
    <w:rsid w:val="00C06498"/>
    <w:rsid w:val="00C20E02"/>
    <w:rsid w:val="00C415A5"/>
    <w:rsid w:val="00C4312A"/>
    <w:rsid w:val="00C545A3"/>
    <w:rsid w:val="00C61871"/>
    <w:rsid w:val="00C67ACB"/>
    <w:rsid w:val="00C67D8C"/>
    <w:rsid w:val="00C80EC6"/>
    <w:rsid w:val="00C87211"/>
    <w:rsid w:val="00C910B7"/>
    <w:rsid w:val="00C916A3"/>
    <w:rsid w:val="00C95C6E"/>
    <w:rsid w:val="00CB6898"/>
    <w:rsid w:val="00CC4A23"/>
    <w:rsid w:val="00CD054E"/>
    <w:rsid w:val="00CE2A0B"/>
    <w:rsid w:val="00CE3C01"/>
    <w:rsid w:val="00CE4722"/>
    <w:rsid w:val="00CE5450"/>
    <w:rsid w:val="00CF5691"/>
    <w:rsid w:val="00D101C2"/>
    <w:rsid w:val="00D134B3"/>
    <w:rsid w:val="00D31313"/>
    <w:rsid w:val="00D3410E"/>
    <w:rsid w:val="00D46056"/>
    <w:rsid w:val="00D502BA"/>
    <w:rsid w:val="00D537B2"/>
    <w:rsid w:val="00D6174D"/>
    <w:rsid w:val="00D673A2"/>
    <w:rsid w:val="00D774BF"/>
    <w:rsid w:val="00D9273C"/>
    <w:rsid w:val="00DA2BD9"/>
    <w:rsid w:val="00DA2E3E"/>
    <w:rsid w:val="00DB0E70"/>
    <w:rsid w:val="00DB186D"/>
    <w:rsid w:val="00DB33C9"/>
    <w:rsid w:val="00DB5677"/>
    <w:rsid w:val="00DB6CBE"/>
    <w:rsid w:val="00DC1661"/>
    <w:rsid w:val="00DC2757"/>
    <w:rsid w:val="00DC27EB"/>
    <w:rsid w:val="00DC5A44"/>
    <w:rsid w:val="00DE0D1A"/>
    <w:rsid w:val="00DE7FAC"/>
    <w:rsid w:val="00DF3199"/>
    <w:rsid w:val="00E075C2"/>
    <w:rsid w:val="00E10B5C"/>
    <w:rsid w:val="00E259CA"/>
    <w:rsid w:val="00E313B4"/>
    <w:rsid w:val="00E32657"/>
    <w:rsid w:val="00E40566"/>
    <w:rsid w:val="00E462E5"/>
    <w:rsid w:val="00E52107"/>
    <w:rsid w:val="00E53535"/>
    <w:rsid w:val="00E57650"/>
    <w:rsid w:val="00E669FF"/>
    <w:rsid w:val="00E7308F"/>
    <w:rsid w:val="00E7418A"/>
    <w:rsid w:val="00E81B41"/>
    <w:rsid w:val="00E8561B"/>
    <w:rsid w:val="00E91371"/>
    <w:rsid w:val="00EA39A2"/>
    <w:rsid w:val="00EA56C8"/>
    <w:rsid w:val="00EB0BB2"/>
    <w:rsid w:val="00EB16EF"/>
    <w:rsid w:val="00EC4C9F"/>
    <w:rsid w:val="00ED06A1"/>
    <w:rsid w:val="00ED1F47"/>
    <w:rsid w:val="00F01626"/>
    <w:rsid w:val="00F02E5C"/>
    <w:rsid w:val="00F05CF8"/>
    <w:rsid w:val="00F56F74"/>
    <w:rsid w:val="00F75880"/>
    <w:rsid w:val="00F840F8"/>
    <w:rsid w:val="00F90386"/>
    <w:rsid w:val="00F90468"/>
    <w:rsid w:val="00F92138"/>
    <w:rsid w:val="00FA022C"/>
    <w:rsid w:val="00FA0B84"/>
    <w:rsid w:val="00FB1FA6"/>
    <w:rsid w:val="00FC2DD2"/>
    <w:rsid w:val="00FC69FC"/>
    <w:rsid w:val="00FD26E5"/>
    <w:rsid w:val="00FD77F9"/>
    <w:rsid w:val="00FE3748"/>
    <w:rsid w:val="00FE68D9"/>
    <w:rsid w:val="00FF07F9"/>
    <w:rsid w:val="00FF18B5"/>
    <w:rsid w:val="00FF5350"/>
    <w:rsid w:val="0206313A"/>
    <w:rsid w:val="05976809"/>
    <w:rsid w:val="07876E2F"/>
    <w:rsid w:val="07F517B5"/>
    <w:rsid w:val="0F1C6AD8"/>
    <w:rsid w:val="0F971D8E"/>
    <w:rsid w:val="11993644"/>
    <w:rsid w:val="13777B96"/>
    <w:rsid w:val="1559539C"/>
    <w:rsid w:val="16691222"/>
    <w:rsid w:val="16AA0906"/>
    <w:rsid w:val="18044580"/>
    <w:rsid w:val="195B64DB"/>
    <w:rsid w:val="19C3401C"/>
    <w:rsid w:val="1BDB6658"/>
    <w:rsid w:val="1D60735F"/>
    <w:rsid w:val="1FE02E2E"/>
    <w:rsid w:val="21E23597"/>
    <w:rsid w:val="21F82C46"/>
    <w:rsid w:val="25624B3B"/>
    <w:rsid w:val="2580651A"/>
    <w:rsid w:val="26DC3C24"/>
    <w:rsid w:val="2E6C678F"/>
    <w:rsid w:val="318834CB"/>
    <w:rsid w:val="33F766CE"/>
    <w:rsid w:val="36207D4F"/>
    <w:rsid w:val="3927764E"/>
    <w:rsid w:val="3B661236"/>
    <w:rsid w:val="3BAF4133"/>
    <w:rsid w:val="3BD5008F"/>
    <w:rsid w:val="3C126F09"/>
    <w:rsid w:val="3E6E694F"/>
    <w:rsid w:val="3F9B30F2"/>
    <w:rsid w:val="40D62817"/>
    <w:rsid w:val="411011A8"/>
    <w:rsid w:val="435C7B60"/>
    <w:rsid w:val="44C96BC0"/>
    <w:rsid w:val="45F92423"/>
    <w:rsid w:val="467531DB"/>
    <w:rsid w:val="47E94DF5"/>
    <w:rsid w:val="4A38723F"/>
    <w:rsid w:val="4A6550FE"/>
    <w:rsid w:val="4C941E16"/>
    <w:rsid w:val="4D3D58F4"/>
    <w:rsid w:val="4D6E3D1A"/>
    <w:rsid w:val="4D701B80"/>
    <w:rsid w:val="514C51FD"/>
    <w:rsid w:val="52020133"/>
    <w:rsid w:val="541B6431"/>
    <w:rsid w:val="5471206E"/>
    <w:rsid w:val="55EE61A7"/>
    <w:rsid w:val="56557327"/>
    <w:rsid w:val="56972F53"/>
    <w:rsid w:val="582D6D32"/>
    <w:rsid w:val="5987067E"/>
    <w:rsid w:val="59E00BD9"/>
    <w:rsid w:val="5CF138A4"/>
    <w:rsid w:val="5EEA5257"/>
    <w:rsid w:val="609151D4"/>
    <w:rsid w:val="626E0D7A"/>
    <w:rsid w:val="627500D5"/>
    <w:rsid w:val="63FC0E86"/>
    <w:rsid w:val="657D7DA4"/>
    <w:rsid w:val="67090D32"/>
    <w:rsid w:val="67A625AB"/>
    <w:rsid w:val="71F4319C"/>
    <w:rsid w:val="769813AA"/>
    <w:rsid w:val="7B5657A0"/>
    <w:rsid w:val="7BB97BA2"/>
    <w:rsid w:val="7D2444E3"/>
    <w:rsid w:val="7EA84990"/>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iPriority="99" w:name="index 2"/>
    <w:lsdException w:qFormat="1" w:unhideWhenUsed="0" w:uiPriority="0" w:semiHidden="0"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uiPriority="99" w:name="Normal Indent"/>
    <w:lsdException w:uiPriority="99" w:name="footnote text"/>
    <w:lsdException w:uiPriority="99"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0"/>
    <w:pPr>
      <w:keepNext/>
      <w:keepLines/>
      <w:numPr>
        <w:ilvl w:val="0"/>
        <w:numId w:val="1"/>
      </w:numPr>
      <w:spacing w:before="340" w:after="330" w:line="576" w:lineRule="auto"/>
      <w:outlineLvl w:val="0"/>
    </w:pPr>
    <w:rPr>
      <w:rFonts w:ascii="Arial" w:hAnsi="Arial"/>
      <w:b/>
      <w:bCs/>
      <w:kern w:val="44"/>
      <w:sz w:val="32"/>
      <w:szCs w:val="28"/>
    </w:rPr>
  </w:style>
  <w:style w:type="paragraph" w:styleId="3">
    <w:name w:val="heading 2"/>
    <w:basedOn w:val="1"/>
    <w:next w:val="1"/>
    <w:link w:val="45"/>
    <w:qFormat/>
    <w:uiPriority w:val="0"/>
    <w:pPr>
      <w:keepNext/>
      <w:keepLines/>
      <w:numPr>
        <w:ilvl w:val="1"/>
        <w:numId w:val="1"/>
      </w:numPr>
      <w:tabs>
        <w:tab w:val="left" w:pos="567"/>
      </w:tabs>
      <w:spacing w:before="260" w:after="260" w:line="413" w:lineRule="auto"/>
      <w:outlineLvl w:val="1"/>
    </w:pPr>
    <w:rPr>
      <w:rFonts w:ascii="Arial" w:hAnsi="Arial"/>
      <w:b/>
      <w:bCs/>
      <w:sz w:val="30"/>
      <w:szCs w:val="32"/>
    </w:rPr>
  </w:style>
  <w:style w:type="paragraph" w:styleId="4">
    <w:name w:val="heading 3"/>
    <w:basedOn w:val="1"/>
    <w:next w:val="1"/>
    <w:qFormat/>
    <w:uiPriority w:val="0"/>
    <w:pPr>
      <w:keepNext/>
      <w:keepLines/>
      <w:numPr>
        <w:ilvl w:val="2"/>
        <w:numId w:val="1"/>
      </w:numPr>
      <w:spacing w:before="260" w:after="260" w:line="413" w:lineRule="auto"/>
      <w:outlineLvl w:val="2"/>
    </w:pPr>
    <w:rPr>
      <w:rFonts w:ascii="Arial" w:hAnsi="Arial"/>
      <w:b/>
      <w:bCs/>
      <w:sz w:val="28"/>
      <w:szCs w:val="18"/>
    </w:rPr>
  </w:style>
  <w:style w:type="paragraph" w:styleId="5">
    <w:name w:val="heading 4"/>
    <w:basedOn w:val="4"/>
    <w:next w:val="1"/>
    <w:qFormat/>
    <w:uiPriority w:val="0"/>
    <w:pPr>
      <w:numPr>
        <w:ilvl w:val="3"/>
      </w:numPr>
      <w:tabs>
        <w:tab w:val="left" w:pos="851"/>
      </w:tabs>
      <w:outlineLvl w:val="3"/>
    </w:pPr>
    <w:rPr>
      <w:sz w:val="24"/>
    </w:rPr>
  </w:style>
  <w:style w:type="paragraph" w:styleId="6">
    <w:name w:val="heading 5"/>
    <w:basedOn w:val="5"/>
    <w:next w:val="1"/>
    <w:qFormat/>
    <w:uiPriority w:val="0"/>
    <w:pPr>
      <w:numPr>
        <w:ilvl w:val="4"/>
      </w:numPr>
      <w:tabs>
        <w:tab w:val="left" w:pos="992"/>
        <w:tab w:val="clear" w:pos="851"/>
      </w:tabs>
      <w:outlineLvl w:val="4"/>
    </w:pPr>
    <w:rPr>
      <w:sz w:val="21"/>
    </w:rPr>
  </w:style>
  <w:style w:type="paragraph" w:styleId="7">
    <w:name w:val="heading 6"/>
    <w:basedOn w:val="6"/>
    <w:next w:val="1"/>
    <w:qFormat/>
    <w:uiPriority w:val="0"/>
    <w:pPr>
      <w:outlineLvl w:val="5"/>
    </w:pPr>
  </w:style>
  <w:style w:type="paragraph" w:styleId="8">
    <w:name w:val="heading 7"/>
    <w:basedOn w:val="7"/>
    <w:next w:val="1"/>
    <w:qFormat/>
    <w:uiPriority w:val="0"/>
    <w:pPr>
      <w:tabs>
        <w:tab w:val="clear" w:pos="992"/>
      </w:tabs>
      <w:outlineLvl w:val="6"/>
    </w:pPr>
  </w:style>
  <w:style w:type="paragraph" w:styleId="9">
    <w:name w:val="heading 8"/>
    <w:basedOn w:val="8"/>
    <w:next w:val="1"/>
    <w:qFormat/>
    <w:uiPriority w:val="0"/>
    <w:pPr>
      <w:outlineLvl w:val="7"/>
    </w:pPr>
  </w:style>
  <w:style w:type="paragraph" w:styleId="10">
    <w:name w:val="heading 9"/>
    <w:basedOn w:val="9"/>
    <w:next w:val="1"/>
    <w:qFormat/>
    <w:uiPriority w:val="0"/>
    <w:pPr>
      <w:outlineLvl w:val="8"/>
    </w:pPr>
  </w:style>
  <w:style w:type="character" w:default="1" w:styleId="30">
    <w:name w:val="Default Paragraph Font"/>
    <w:semiHidden/>
    <w:unhideWhenUsed/>
    <w:qFormat/>
    <w:uiPriority w:val="1"/>
  </w:style>
  <w:style w:type="table" w:default="1" w:styleId="29">
    <w:name w:val="Normal Table"/>
    <w:semiHidden/>
    <w:unhideWhenUsed/>
    <w:qFormat/>
    <w:uiPriority w:val="99"/>
    <w:tblPr>
      <w:tblCellMar>
        <w:top w:w="0" w:type="dxa"/>
        <w:left w:w="108" w:type="dxa"/>
        <w:bottom w:w="0" w:type="dxa"/>
        <w:right w:w="108" w:type="dxa"/>
      </w:tblCellMar>
    </w:tblPr>
  </w:style>
  <w:style w:type="paragraph" w:styleId="11">
    <w:name w:val="toc 7"/>
    <w:basedOn w:val="1"/>
    <w:next w:val="1"/>
    <w:qFormat/>
    <w:uiPriority w:val="0"/>
    <w:pPr>
      <w:ind w:left="2520" w:leftChars="1200"/>
    </w:pPr>
  </w:style>
  <w:style w:type="paragraph" w:styleId="12">
    <w:name w:val="Document Map"/>
    <w:basedOn w:val="1"/>
    <w:qFormat/>
    <w:uiPriority w:val="0"/>
    <w:pPr>
      <w:shd w:val="clear" w:color="auto" w:fill="000080"/>
    </w:pPr>
  </w:style>
  <w:style w:type="paragraph" w:styleId="13">
    <w:name w:val="Body Text"/>
    <w:basedOn w:val="1"/>
    <w:qFormat/>
    <w:uiPriority w:val="0"/>
    <w:pPr>
      <w:spacing w:after="120" w:line="360" w:lineRule="auto"/>
      <w:ind w:firstLine="200" w:firstLineChars="200"/>
    </w:pPr>
    <w:rPr>
      <w:sz w:val="24"/>
    </w:rPr>
  </w:style>
  <w:style w:type="paragraph" w:styleId="14">
    <w:name w:val="Body Text Indent"/>
    <w:basedOn w:val="1"/>
    <w:qFormat/>
    <w:uiPriority w:val="0"/>
    <w:pPr>
      <w:spacing w:after="120"/>
      <w:ind w:left="420" w:leftChars="200"/>
    </w:pPr>
  </w:style>
  <w:style w:type="paragraph" w:styleId="15">
    <w:name w:val="toc 5"/>
    <w:basedOn w:val="1"/>
    <w:next w:val="1"/>
    <w:qFormat/>
    <w:uiPriority w:val="0"/>
    <w:pPr>
      <w:ind w:left="1680" w:leftChars="800"/>
    </w:pPr>
  </w:style>
  <w:style w:type="paragraph" w:styleId="16">
    <w:name w:val="toc 3"/>
    <w:basedOn w:val="1"/>
    <w:next w:val="1"/>
    <w:qFormat/>
    <w:uiPriority w:val="39"/>
    <w:pPr>
      <w:tabs>
        <w:tab w:val="left" w:pos="1680"/>
        <w:tab w:val="right" w:leader="dot" w:pos="8302"/>
      </w:tabs>
      <w:ind w:left="840" w:leftChars="400"/>
    </w:pPr>
  </w:style>
  <w:style w:type="paragraph" w:styleId="17">
    <w:name w:val="toc 8"/>
    <w:basedOn w:val="1"/>
    <w:next w:val="1"/>
    <w:qFormat/>
    <w:uiPriority w:val="0"/>
    <w:pPr>
      <w:ind w:left="1470"/>
      <w:jc w:val="left"/>
    </w:pPr>
    <w:rPr>
      <w:szCs w:val="21"/>
    </w:rPr>
  </w:style>
  <w:style w:type="paragraph" w:styleId="18">
    <w:name w:val="index 3"/>
    <w:basedOn w:val="1"/>
    <w:next w:val="1"/>
    <w:qFormat/>
    <w:uiPriority w:val="0"/>
    <w:pPr>
      <w:ind w:left="400" w:leftChars="400"/>
    </w:pPr>
  </w:style>
  <w:style w:type="paragraph" w:styleId="19">
    <w:name w:val="Balloon Text"/>
    <w:basedOn w:val="1"/>
    <w:link w:val="44"/>
    <w:semiHidden/>
    <w:unhideWhenUsed/>
    <w:qFormat/>
    <w:uiPriority w:val="99"/>
    <w:rPr>
      <w:sz w:val="18"/>
      <w:szCs w:val="18"/>
    </w:rPr>
  </w:style>
  <w:style w:type="paragraph" w:styleId="20">
    <w:name w:val="footer"/>
    <w:basedOn w:val="1"/>
    <w:link w:val="49"/>
    <w:qFormat/>
    <w:uiPriority w:val="99"/>
    <w:pPr>
      <w:tabs>
        <w:tab w:val="center" w:pos="4153"/>
        <w:tab w:val="right" w:pos="8306"/>
      </w:tabs>
      <w:snapToGrid w:val="0"/>
      <w:jc w:val="center"/>
    </w:pPr>
    <w:rPr>
      <w:sz w:val="18"/>
      <w:szCs w:val="18"/>
    </w:rPr>
  </w:style>
  <w:style w:type="paragraph" w:styleId="21">
    <w:name w:val="header"/>
    <w:basedOn w:val="1"/>
    <w:link w:val="48"/>
    <w:qFormat/>
    <w:uiPriority w:val="99"/>
    <w:pPr>
      <w:pBdr>
        <w:bottom w:val="single" w:color="auto" w:sz="4" w:space="1"/>
      </w:pBdr>
      <w:tabs>
        <w:tab w:val="center" w:pos="4153"/>
        <w:tab w:val="right" w:pos="8306"/>
      </w:tabs>
      <w:snapToGrid w:val="0"/>
      <w:jc w:val="right"/>
    </w:pPr>
    <w:rPr>
      <w:sz w:val="18"/>
      <w:szCs w:val="18"/>
    </w:rPr>
  </w:style>
  <w:style w:type="paragraph" w:styleId="22">
    <w:name w:val="toc 1"/>
    <w:basedOn w:val="1"/>
    <w:next w:val="1"/>
    <w:qFormat/>
    <w:uiPriority w:val="39"/>
    <w:pPr>
      <w:spacing w:beforeLines="100"/>
    </w:pPr>
    <w:rPr>
      <w:b/>
    </w:rPr>
  </w:style>
  <w:style w:type="paragraph" w:styleId="23">
    <w:name w:val="toc 4"/>
    <w:basedOn w:val="1"/>
    <w:next w:val="1"/>
    <w:qFormat/>
    <w:uiPriority w:val="0"/>
    <w:pPr>
      <w:ind w:left="1260" w:leftChars="600"/>
    </w:pPr>
  </w:style>
  <w:style w:type="paragraph" w:styleId="24">
    <w:name w:val="toc 6"/>
    <w:basedOn w:val="1"/>
    <w:next w:val="1"/>
    <w:qFormat/>
    <w:uiPriority w:val="0"/>
    <w:pPr>
      <w:ind w:left="2100" w:leftChars="1000"/>
    </w:pPr>
  </w:style>
  <w:style w:type="paragraph" w:styleId="25">
    <w:name w:val="toc 2"/>
    <w:basedOn w:val="1"/>
    <w:next w:val="1"/>
    <w:qFormat/>
    <w:uiPriority w:val="39"/>
    <w:pPr>
      <w:tabs>
        <w:tab w:val="left" w:pos="1260"/>
        <w:tab w:val="right" w:leader="dot" w:pos="8302"/>
      </w:tabs>
      <w:ind w:left="420" w:leftChars="200"/>
    </w:pPr>
  </w:style>
  <w:style w:type="paragraph" w:styleId="26">
    <w:name w:val="toc 9"/>
    <w:basedOn w:val="1"/>
    <w:next w:val="1"/>
    <w:qFormat/>
    <w:uiPriority w:val="0"/>
    <w:pPr>
      <w:ind w:left="3360" w:leftChars="1600"/>
    </w:pPr>
  </w:style>
  <w:style w:type="paragraph" w:styleId="27">
    <w:name w:val="Normal (Web)"/>
    <w:basedOn w:val="1"/>
    <w:qFormat/>
    <w:uiPriority w:val="0"/>
    <w:pPr>
      <w:widowControl/>
      <w:spacing w:before="100" w:beforeAutospacing="1" w:after="100" w:afterAutospacing="1"/>
      <w:jc w:val="left"/>
    </w:pPr>
    <w:rPr>
      <w:rFonts w:ascii="宋体" w:hAnsi="宋体"/>
      <w:kern w:val="0"/>
      <w:sz w:val="24"/>
    </w:rPr>
  </w:style>
  <w:style w:type="paragraph" w:styleId="28">
    <w:name w:val="index 1"/>
    <w:basedOn w:val="1"/>
    <w:next w:val="1"/>
    <w:qFormat/>
    <w:uiPriority w:val="0"/>
  </w:style>
  <w:style w:type="character" w:styleId="31">
    <w:name w:val="Strong"/>
    <w:basedOn w:val="30"/>
    <w:qFormat/>
    <w:uiPriority w:val="22"/>
    <w:rPr>
      <w:b/>
      <w:bCs/>
    </w:rPr>
  </w:style>
  <w:style w:type="character" w:styleId="32">
    <w:name w:val="page number"/>
    <w:basedOn w:val="30"/>
    <w:qFormat/>
    <w:uiPriority w:val="0"/>
  </w:style>
  <w:style w:type="character" w:styleId="33">
    <w:name w:val="FollowedHyperlink"/>
    <w:basedOn w:val="30"/>
    <w:semiHidden/>
    <w:unhideWhenUsed/>
    <w:qFormat/>
    <w:uiPriority w:val="99"/>
    <w:rPr>
      <w:color w:val="800080" w:themeColor="followedHyperlink"/>
      <w:u w:val="single"/>
    </w:rPr>
  </w:style>
  <w:style w:type="character" w:styleId="34">
    <w:name w:val="Hyperlink"/>
    <w:qFormat/>
    <w:uiPriority w:val="99"/>
    <w:rPr>
      <w:color w:val="0000FF"/>
      <w:u w:val="single"/>
    </w:rPr>
  </w:style>
  <w:style w:type="character" w:styleId="35">
    <w:name w:val="annotation reference"/>
    <w:qFormat/>
    <w:uiPriority w:val="0"/>
    <w:rPr>
      <w:sz w:val="21"/>
      <w:szCs w:val="21"/>
    </w:rPr>
  </w:style>
  <w:style w:type="character" w:customStyle="1" w:styleId="36">
    <w:name w:val="访问过的超链接1"/>
    <w:qFormat/>
    <w:uiPriority w:val="0"/>
    <w:rPr>
      <w:color w:val="800080"/>
      <w:u w:val="single"/>
    </w:rPr>
  </w:style>
  <w:style w:type="character" w:customStyle="1" w:styleId="37">
    <w:name w:val="Indent Normal Char"/>
    <w:qFormat/>
    <w:uiPriority w:val="0"/>
    <w:rPr>
      <w:rFonts w:eastAsia="宋体"/>
      <w:kern w:val="2"/>
      <w:sz w:val="21"/>
      <w:szCs w:val="24"/>
      <w:lang w:val="en-US" w:eastAsia="zh-CN" w:bidi="ar-SA"/>
    </w:rPr>
  </w:style>
  <w:style w:type="paragraph" w:customStyle="1" w:styleId="38">
    <w:name w:val="Code"/>
    <w:basedOn w:val="1"/>
    <w:qFormat/>
    <w:uiPriority w:val="0"/>
    <w:pPr>
      <w:keepLines/>
      <w:widowControl/>
      <w:pBdr>
        <w:top w:val="double" w:color="auto" w:sz="4" w:space="1"/>
        <w:bottom w:val="double" w:color="auto" w:sz="4" w:space="1"/>
      </w:pBdr>
      <w:shd w:val="clear" w:color="auto" w:fill="E6E6E6"/>
      <w:ind w:left="200" w:leftChars="200" w:right="200" w:rightChars="200"/>
      <w:jc w:val="left"/>
    </w:pPr>
    <w:rPr>
      <w:rFonts w:ascii="Courier New" w:hAnsi="Courier New"/>
      <w:sz w:val="18"/>
      <w:szCs w:val="21"/>
    </w:rPr>
  </w:style>
  <w:style w:type="paragraph" w:customStyle="1" w:styleId="39">
    <w:name w:val="Subject"/>
    <w:basedOn w:val="1"/>
    <w:qFormat/>
    <w:uiPriority w:val="0"/>
    <w:pPr>
      <w:spacing w:beforeLines="800"/>
      <w:jc w:val="center"/>
    </w:pPr>
    <w:rPr>
      <w:rFonts w:eastAsia="黑体"/>
      <w:b/>
      <w:sz w:val="48"/>
    </w:rPr>
  </w:style>
  <w:style w:type="paragraph" w:customStyle="1" w:styleId="40">
    <w:name w:val="封面表格文本"/>
    <w:basedOn w:val="1"/>
    <w:qFormat/>
    <w:uiPriority w:val="0"/>
    <w:pPr>
      <w:autoSpaceDE w:val="0"/>
      <w:autoSpaceDN w:val="0"/>
      <w:adjustRightInd w:val="0"/>
      <w:jc w:val="center"/>
    </w:pPr>
    <w:rPr>
      <w:b/>
      <w:kern w:val="0"/>
      <w:sz w:val="24"/>
      <w:szCs w:val="20"/>
    </w:rPr>
  </w:style>
  <w:style w:type="paragraph" w:customStyle="1" w:styleId="41">
    <w:name w:val="封面文档标题"/>
    <w:basedOn w:val="1"/>
    <w:qFormat/>
    <w:uiPriority w:val="0"/>
    <w:pPr>
      <w:autoSpaceDE w:val="0"/>
      <w:autoSpaceDN w:val="0"/>
      <w:adjustRightInd w:val="0"/>
      <w:spacing w:line="360" w:lineRule="auto"/>
      <w:jc w:val="center"/>
    </w:pPr>
    <w:rPr>
      <w:rFonts w:ascii="Arial" w:hAnsi="Arial"/>
      <w:b/>
      <w:kern w:val="0"/>
      <w:sz w:val="56"/>
      <w:szCs w:val="20"/>
    </w:rPr>
  </w:style>
  <w:style w:type="paragraph" w:customStyle="1" w:styleId="42">
    <w:name w:val="公司名称"/>
    <w:basedOn w:val="1"/>
    <w:qFormat/>
    <w:uiPriority w:val="0"/>
    <w:pPr>
      <w:widowControl/>
      <w:autoSpaceDE w:val="0"/>
      <w:autoSpaceDN w:val="0"/>
      <w:adjustRightInd w:val="0"/>
      <w:jc w:val="left"/>
    </w:pPr>
    <w:rPr>
      <w:rFonts w:eastAsia="黑体"/>
      <w:b/>
      <w:kern w:val="0"/>
      <w:sz w:val="32"/>
      <w:szCs w:val="20"/>
    </w:rPr>
  </w:style>
  <w:style w:type="paragraph" w:customStyle="1" w:styleId="43">
    <w:name w:val="TOC Heading"/>
    <w:basedOn w:val="2"/>
    <w:next w:val="1"/>
    <w:unhideWhenUsed/>
    <w:qFormat/>
    <w:uiPriority w:val="39"/>
    <w:pPr>
      <w:widowControl/>
      <w:numPr>
        <w:numId w:val="0"/>
      </w:numPr>
      <w:spacing w:before="480" w:after="0" w:line="276" w:lineRule="auto"/>
      <w:jc w:val="left"/>
      <w:outlineLvl w:val="9"/>
    </w:pPr>
    <w:rPr>
      <w:rFonts w:ascii="Cambria" w:hAnsi="Cambria"/>
      <w:color w:val="365F91"/>
      <w:kern w:val="0"/>
      <w:sz w:val="28"/>
    </w:rPr>
  </w:style>
  <w:style w:type="character" w:customStyle="1" w:styleId="44">
    <w:name w:val="批注框文本 Char"/>
    <w:basedOn w:val="30"/>
    <w:link w:val="19"/>
    <w:semiHidden/>
    <w:qFormat/>
    <w:uiPriority w:val="99"/>
    <w:rPr>
      <w:kern w:val="2"/>
      <w:sz w:val="18"/>
      <w:szCs w:val="18"/>
    </w:rPr>
  </w:style>
  <w:style w:type="character" w:customStyle="1" w:styleId="45">
    <w:name w:val="标题 2 Char"/>
    <w:basedOn w:val="30"/>
    <w:link w:val="3"/>
    <w:qFormat/>
    <w:uiPriority w:val="0"/>
    <w:rPr>
      <w:rFonts w:ascii="Arial" w:hAnsi="Arial"/>
      <w:b/>
      <w:bCs/>
      <w:kern w:val="2"/>
      <w:sz w:val="30"/>
      <w:szCs w:val="32"/>
    </w:rPr>
  </w:style>
  <w:style w:type="paragraph" w:styleId="46">
    <w:name w:val="List Paragraph"/>
    <w:basedOn w:val="1"/>
    <w:qFormat/>
    <w:uiPriority w:val="34"/>
    <w:pPr>
      <w:ind w:firstLine="420" w:firstLineChars="200"/>
    </w:pPr>
  </w:style>
  <w:style w:type="paragraph" w:customStyle="1" w:styleId="47">
    <w:name w:val="Indent Normal"/>
    <w:basedOn w:val="1"/>
    <w:qFormat/>
    <w:uiPriority w:val="0"/>
    <w:pPr>
      <w:ind w:firstLine="150" w:firstLineChars="150"/>
    </w:pPr>
    <w:rPr>
      <w:sz w:val="24"/>
    </w:rPr>
  </w:style>
  <w:style w:type="character" w:customStyle="1" w:styleId="48">
    <w:name w:val="页眉 Char"/>
    <w:basedOn w:val="30"/>
    <w:link w:val="21"/>
    <w:qFormat/>
    <w:uiPriority w:val="99"/>
    <w:rPr>
      <w:kern w:val="2"/>
      <w:sz w:val="18"/>
      <w:szCs w:val="18"/>
    </w:rPr>
  </w:style>
  <w:style w:type="character" w:customStyle="1" w:styleId="49">
    <w:name w:val="页脚 Char"/>
    <w:basedOn w:val="30"/>
    <w:link w:val="20"/>
    <w:qFormat/>
    <w:uiPriority w:val="99"/>
    <w:rPr>
      <w:kern w:val="2"/>
      <w:sz w:val="18"/>
      <w:szCs w:val="18"/>
    </w:rPr>
  </w:style>
</w:styles>
</file>

<file path=word/_rels/document.xml.rels><?xml version="1.0" encoding="UTF-8" standalone="yes"?>
<Relationships xmlns="http://schemas.openxmlformats.org/package/2006/relationships"><Relationship Id="rId99" Type="http://schemas.openxmlformats.org/officeDocument/2006/relationships/fontTable" Target="fontTable.xml"/><Relationship Id="rId98" Type="http://schemas.openxmlformats.org/officeDocument/2006/relationships/customXml" Target="../customXml/item1.xml"/><Relationship Id="rId97" Type="http://schemas.openxmlformats.org/officeDocument/2006/relationships/numbering" Target="numbering.xml"/><Relationship Id="rId96" Type="http://schemas.openxmlformats.org/officeDocument/2006/relationships/image" Target="media/image88.png"/><Relationship Id="rId95" Type="http://schemas.openxmlformats.org/officeDocument/2006/relationships/image" Target="media/image87.png"/><Relationship Id="rId94" Type="http://schemas.openxmlformats.org/officeDocument/2006/relationships/image" Target="media/image86.png"/><Relationship Id="rId93" Type="http://schemas.openxmlformats.org/officeDocument/2006/relationships/image" Target="media/image85.png"/><Relationship Id="rId92" Type="http://schemas.openxmlformats.org/officeDocument/2006/relationships/image" Target="media/image84.png"/><Relationship Id="rId91" Type="http://schemas.openxmlformats.org/officeDocument/2006/relationships/image" Target="media/image83.png"/><Relationship Id="rId90" Type="http://schemas.openxmlformats.org/officeDocument/2006/relationships/image" Target="media/image82.png"/><Relationship Id="rId9" Type="http://schemas.openxmlformats.org/officeDocument/2006/relationships/image" Target="media/image1.png"/><Relationship Id="rId89" Type="http://schemas.openxmlformats.org/officeDocument/2006/relationships/image" Target="media/image81.png"/><Relationship Id="rId88" Type="http://schemas.openxmlformats.org/officeDocument/2006/relationships/image" Target="media/image80.png"/><Relationship Id="rId87" Type="http://schemas.openxmlformats.org/officeDocument/2006/relationships/image" Target="media/image79.png"/><Relationship Id="rId86" Type="http://schemas.openxmlformats.org/officeDocument/2006/relationships/image" Target="media/image78.png"/><Relationship Id="rId85" Type="http://schemas.openxmlformats.org/officeDocument/2006/relationships/image" Target="media/image77.png"/><Relationship Id="rId84" Type="http://schemas.openxmlformats.org/officeDocument/2006/relationships/image" Target="media/image76.png"/><Relationship Id="rId83" Type="http://schemas.openxmlformats.org/officeDocument/2006/relationships/image" Target="media/image75.png"/><Relationship Id="rId82" Type="http://schemas.openxmlformats.org/officeDocument/2006/relationships/image" Target="media/image74.png"/><Relationship Id="rId81" Type="http://schemas.openxmlformats.org/officeDocument/2006/relationships/image" Target="media/image73.png"/><Relationship Id="rId80" Type="http://schemas.openxmlformats.org/officeDocument/2006/relationships/image" Target="media/image72.png"/><Relationship Id="rId8" Type="http://schemas.openxmlformats.org/officeDocument/2006/relationships/theme" Target="theme/theme1.xml"/><Relationship Id="rId79" Type="http://schemas.openxmlformats.org/officeDocument/2006/relationships/image" Target="media/image71.png"/><Relationship Id="rId78" Type="http://schemas.openxmlformats.org/officeDocument/2006/relationships/image" Target="media/image70.png"/><Relationship Id="rId77" Type="http://schemas.openxmlformats.org/officeDocument/2006/relationships/image" Target="media/image69.png"/><Relationship Id="rId76" Type="http://schemas.openxmlformats.org/officeDocument/2006/relationships/image" Target="media/image68.png"/><Relationship Id="rId75" Type="http://schemas.openxmlformats.org/officeDocument/2006/relationships/image" Target="media/image67.png"/><Relationship Id="rId74" Type="http://schemas.openxmlformats.org/officeDocument/2006/relationships/image" Target="media/image66.png"/><Relationship Id="rId73" Type="http://schemas.openxmlformats.org/officeDocument/2006/relationships/image" Target="media/image65.png"/><Relationship Id="rId72" Type="http://schemas.openxmlformats.org/officeDocument/2006/relationships/image" Target="media/image64.png"/><Relationship Id="rId71" Type="http://schemas.openxmlformats.org/officeDocument/2006/relationships/image" Target="media/image63.png"/><Relationship Id="rId70" Type="http://schemas.openxmlformats.org/officeDocument/2006/relationships/image" Target="media/image62.png"/><Relationship Id="rId7" Type="http://schemas.openxmlformats.org/officeDocument/2006/relationships/footer" Target="footer2.xml"/><Relationship Id="rId69" Type="http://schemas.openxmlformats.org/officeDocument/2006/relationships/image" Target="media/image61.png"/><Relationship Id="rId68" Type="http://schemas.openxmlformats.org/officeDocument/2006/relationships/image" Target="media/image60.png"/><Relationship Id="rId67" Type="http://schemas.openxmlformats.org/officeDocument/2006/relationships/image" Target="media/image59.png"/><Relationship Id="rId66" Type="http://schemas.openxmlformats.org/officeDocument/2006/relationships/image" Target="media/image58.png"/><Relationship Id="rId65" Type="http://schemas.openxmlformats.org/officeDocument/2006/relationships/image" Target="media/image57.png"/><Relationship Id="rId64" Type="http://schemas.openxmlformats.org/officeDocument/2006/relationships/image" Target="media/image56.png"/><Relationship Id="rId63" Type="http://schemas.openxmlformats.org/officeDocument/2006/relationships/image" Target="media/image55.png"/><Relationship Id="rId62" Type="http://schemas.openxmlformats.org/officeDocument/2006/relationships/image" Target="media/image54.png"/><Relationship Id="rId61" Type="http://schemas.openxmlformats.org/officeDocument/2006/relationships/image" Target="media/image53.png"/><Relationship Id="rId60" Type="http://schemas.openxmlformats.org/officeDocument/2006/relationships/image" Target="media/image52.png"/><Relationship Id="rId6" Type="http://schemas.openxmlformats.org/officeDocument/2006/relationships/footer" Target="footer1.xml"/><Relationship Id="rId59" Type="http://schemas.openxmlformats.org/officeDocument/2006/relationships/image" Target="media/image51.png"/><Relationship Id="rId58" Type="http://schemas.openxmlformats.org/officeDocument/2006/relationships/image" Target="media/image50.png"/><Relationship Id="rId57" Type="http://schemas.openxmlformats.org/officeDocument/2006/relationships/image" Target="media/image49.png"/><Relationship Id="rId56" Type="http://schemas.openxmlformats.org/officeDocument/2006/relationships/image" Target="media/image48.png"/><Relationship Id="rId55" Type="http://schemas.openxmlformats.org/officeDocument/2006/relationships/image" Target="media/image47.png"/><Relationship Id="rId54" Type="http://schemas.openxmlformats.org/officeDocument/2006/relationships/image" Target="media/image46.png"/><Relationship Id="rId53" Type="http://schemas.openxmlformats.org/officeDocument/2006/relationships/image" Target="media/image45.png"/><Relationship Id="rId52" Type="http://schemas.openxmlformats.org/officeDocument/2006/relationships/image" Target="media/image44.png"/><Relationship Id="rId51" Type="http://schemas.openxmlformats.org/officeDocument/2006/relationships/image" Target="media/image43.png"/><Relationship Id="rId50" Type="http://schemas.openxmlformats.org/officeDocument/2006/relationships/image" Target="media/image42.png"/><Relationship Id="rId5" Type="http://schemas.openxmlformats.org/officeDocument/2006/relationships/header" Target="header3.xml"/><Relationship Id="rId49" Type="http://schemas.openxmlformats.org/officeDocument/2006/relationships/image" Target="media/image41.png"/><Relationship Id="rId48" Type="http://schemas.openxmlformats.org/officeDocument/2006/relationships/image" Target="media/image40.png"/><Relationship Id="rId47" Type="http://schemas.openxmlformats.org/officeDocument/2006/relationships/image" Target="media/image39.png"/><Relationship Id="rId46" Type="http://schemas.openxmlformats.org/officeDocument/2006/relationships/image" Target="media/image38.png"/><Relationship Id="rId45" Type="http://schemas.openxmlformats.org/officeDocument/2006/relationships/image" Target="media/image37.png"/><Relationship Id="rId44" Type="http://schemas.openxmlformats.org/officeDocument/2006/relationships/image" Target="media/image36.png"/><Relationship Id="rId43" Type="http://schemas.openxmlformats.org/officeDocument/2006/relationships/image" Target="media/image35.png"/><Relationship Id="rId42" Type="http://schemas.openxmlformats.org/officeDocument/2006/relationships/image" Target="media/image34.png"/><Relationship Id="rId41" Type="http://schemas.openxmlformats.org/officeDocument/2006/relationships/image" Target="media/image33.png"/><Relationship Id="rId40" Type="http://schemas.openxmlformats.org/officeDocument/2006/relationships/image" Target="media/image32.png"/><Relationship Id="rId4" Type="http://schemas.openxmlformats.org/officeDocument/2006/relationships/header" Target="header2.xml"/><Relationship Id="rId39" Type="http://schemas.openxmlformats.org/officeDocument/2006/relationships/image" Target="media/image31.png"/><Relationship Id="rId38" Type="http://schemas.openxmlformats.org/officeDocument/2006/relationships/image" Target="media/image30.png"/><Relationship Id="rId37" Type="http://schemas.openxmlformats.org/officeDocument/2006/relationships/image" Target="media/image29.png"/><Relationship Id="rId36" Type="http://schemas.openxmlformats.org/officeDocument/2006/relationships/image" Target="media/image28.png"/><Relationship Id="rId35" Type="http://schemas.openxmlformats.org/officeDocument/2006/relationships/image" Target="media/image27.png"/><Relationship Id="rId34" Type="http://schemas.openxmlformats.org/officeDocument/2006/relationships/image" Target="media/image26.png"/><Relationship Id="rId33" Type="http://schemas.openxmlformats.org/officeDocument/2006/relationships/image" Target="media/image25.png"/><Relationship Id="rId32" Type="http://schemas.openxmlformats.org/officeDocument/2006/relationships/image" Target="media/image24.png"/><Relationship Id="rId31" Type="http://schemas.openxmlformats.org/officeDocument/2006/relationships/image" Target="media/image23.png"/><Relationship Id="rId30" Type="http://schemas.openxmlformats.org/officeDocument/2006/relationships/image" Target="media/image22.png"/><Relationship Id="rId3" Type="http://schemas.openxmlformats.org/officeDocument/2006/relationships/header" Target="header1.xml"/><Relationship Id="rId29" Type="http://schemas.openxmlformats.org/officeDocument/2006/relationships/image" Target="media/image21.png"/><Relationship Id="rId28" Type="http://schemas.openxmlformats.org/officeDocument/2006/relationships/image" Target="media/image20.png"/><Relationship Id="rId27" Type="http://schemas.openxmlformats.org/officeDocument/2006/relationships/image" Target="media/image19.png"/><Relationship Id="rId26" Type="http://schemas.openxmlformats.org/officeDocument/2006/relationships/image" Target="media/image18.png"/><Relationship Id="rId25" Type="http://schemas.openxmlformats.org/officeDocument/2006/relationships/image" Target="media/image17.png"/><Relationship Id="rId24" Type="http://schemas.openxmlformats.org/officeDocument/2006/relationships/image" Target="media/image16.pn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0" Type="http://schemas.openxmlformats.org/officeDocument/2006/relationships/glossaryDocument" Target="glossary/document.xml"/><Relationship Id="rId10" Type="http://schemas.openxmlformats.org/officeDocument/2006/relationships/image" Target="media/image2.png"/><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ven\Desktop\design.dot" TargetMode="External"/></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10792C1D70804ECE811E0A9CF92C5DF2"/>
        <w:style w:val=""/>
        <w:category>
          <w:name w:val="常规"/>
          <w:gallery w:val="placeholder"/>
        </w:category>
        <w:types>
          <w:type w:val="bbPlcHdr"/>
        </w:types>
        <w:behaviors>
          <w:behavior w:val="content"/>
        </w:behaviors>
        <w:description w:val=""/>
        <w:guid w:val="{29F47FE5-56A8-449D-83D6-2797ADEB4CEE}"/>
      </w:docPartPr>
      <w:docPartBody>
        <w:p w14:paraId="077167BE">
          <w:pPr>
            <w:pStyle w:val="13"/>
          </w:pPr>
          <w:r>
            <w:rPr>
              <w:lang w:val="zh-CN"/>
            </w:rPr>
            <w:t>[在此处键入]</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bordersDoNotSurroundHeader w:val="1"/>
  <w:bordersDoNotSurroundFooter w:val="1"/>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2E65"/>
    <w:rsid w:val="00562E65"/>
    <w:rsid w:val="0057162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iPriority="1" w:name="Default Paragraph Font"/>
    <w:lsdException w:qFormat="1" w:uiPriority="99" w:name="Normal Table"/>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2">
    <w:name w:val="Default Paragraph Font"/>
    <w:semiHidden/>
    <w:unhideWhenUsed/>
    <w:qFormat/>
    <w:uiPriority w:val="1"/>
  </w:style>
  <w:style w:type="table" w:default="1" w:styleId="3">
    <w:name w:val="Normal Table"/>
    <w:semiHidden/>
    <w:unhideWhenUsed/>
    <w:qFormat/>
    <w:uiPriority w:val="99"/>
    <w:tblPr>
      <w:tblCellMar>
        <w:top w:w="0" w:type="dxa"/>
        <w:left w:w="108" w:type="dxa"/>
        <w:bottom w:w="0" w:type="dxa"/>
        <w:right w:w="108" w:type="dxa"/>
      </w:tblCellMar>
    </w:tblPr>
  </w:style>
  <w:style w:type="paragraph" w:customStyle="1" w:styleId="4">
    <w:name w:val="296E3443BD5243EE8BCDE1A9494E0C11"/>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5">
    <w:name w:val="D49836CDD8924AE2B4FFBEF0503F8E09"/>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6">
    <w:name w:val="1F01DC772EA149DFB3BD0B1A2EF57A73"/>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7">
    <w:name w:val="409DECAA579E4F0BB62F76E3E9BE01A9"/>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8">
    <w:name w:val="0AA4D64CED944E73843ACE0F125F62AD"/>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9">
    <w:name w:val="F039E795675648B8800BEF280993B30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0">
    <w:name w:val="73065694B34F41B981498F2C9469BFBD"/>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1">
    <w:name w:val="F5D26051133B44AF92865F8317F823BF"/>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2">
    <w:name w:val="F371390A94A14F4EA391563EFA6244B7"/>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3">
    <w:name w:val="10792C1D70804ECE811E0A9CF92C5DF2"/>
    <w:qFormat/>
    <w:uiPriority w:val="0"/>
    <w:pPr>
      <w:widowControl w:val="0"/>
      <w:jc w:val="both"/>
    </w:pPr>
    <w:rPr>
      <w:rFonts w:asciiTheme="minorHAnsi" w:hAnsiTheme="minorHAnsi" w:eastAsiaTheme="minorEastAsia" w:cstheme="minorBidi"/>
      <w:kern w:val="2"/>
      <w:sz w:val="21"/>
      <w:szCs w:val="22"/>
      <w:lang w:val="en-US" w:eastAsia="zh-CN" w:bidi="ar-SA"/>
    </w:rPr>
  </w:style>
</w:style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3E4D885-346C-474D-B296-70D3E927E105}">
  <ds:schemaRefs/>
</ds:datastoreItem>
</file>

<file path=docProps/app.xml><?xml version="1.0" encoding="utf-8"?>
<Properties xmlns="http://schemas.openxmlformats.org/officeDocument/2006/extended-properties" xmlns:vt="http://schemas.openxmlformats.org/officeDocument/2006/docPropsVTypes">
  <Template>design</Template>
  <Company>江苏国泰新点软件有限公司</Company>
  <Pages>41</Pages>
  <Words>9097</Words>
  <Characters>9385</Characters>
  <Lines>78</Lines>
  <Paragraphs>22</Paragraphs>
  <TotalTime>18</TotalTime>
  <ScaleCrop>false</ScaleCrop>
  <LinksUpToDate>false</LinksUpToDate>
  <CharactersWithSpaces>9535</CharactersWithSpaces>
  <Application>WPS Office_12.1.0.17147_F1E327BC-269C-435d-A152-05C5408002CA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2015-10-19T03:22:00Z</dcterms:created>
  <dc:creator>humf</dc:creator>
  <cp:lastModifiedBy>蔡</cp:lastModifiedBy>
  <cp:lastPrinted>2004-11-15T02:42:00Z</cp:lastPrinted>
  <dcterms:modified xsi:type="dcterms:W3CDTF">2024-08-02T03:40:58Z</dcterms:modified>
  <dc:title>智慧清单先锋软件V7</dc:title>
  <cp:revision>80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31B4EBEEFCDF402880B8D94864F5EEC9</vt:lpwstr>
  </property>
</Properties>
</file>